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70671" w14:textId="77777777"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14:paraId="6DDF01FA" w14:textId="23466178"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6076F1">
        <w:rPr>
          <w:rFonts w:ascii="Calibri" w:eastAsia="宋体" w:hAnsi="Calibri" w:cs="Times New Roman" w:hint="eastAsia"/>
          <w:sz w:val="32"/>
          <w:lang w:bidi="ar"/>
        </w:rPr>
        <w:t>4</w:t>
      </w:r>
      <w:r>
        <w:rPr>
          <w:rFonts w:ascii="Calibri" w:eastAsia="宋体" w:hAnsi="Calibri" w:cs="宋体" w:hint="eastAsia"/>
          <w:sz w:val="32"/>
          <w:lang w:bidi="ar"/>
        </w:rPr>
        <w:t>年第</w:t>
      </w:r>
      <w:r>
        <w:rPr>
          <w:rFonts w:ascii="Calibri" w:eastAsia="宋体" w:hAnsi="Calibri" w:cs="Times New Roman"/>
          <w:sz w:val="32"/>
          <w:lang w:bidi="ar"/>
        </w:rPr>
        <w:t>1</w:t>
      </w:r>
      <w:r>
        <w:rPr>
          <w:rFonts w:ascii="Calibri" w:eastAsia="宋体" w:hAnsi="Calibri" w:cs="宋体" w:hint="eastAsia"/>
          <w:sz w:val="32"/>
          <w:lang w:bidi="ar"/>
        </w:rPr>
        <w:t>期）</w:t>
      </w:r>
    </w:p>
    <w:p w14:paraId="1F5BC75D" w14:textId="77777777"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14:paraId="1EFBF1DC" w14:textId="22A95E42"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Pr>
          <w:rFonts w:ascii="Calibri" w:eastAsia="黑体" w:hAnsi="Calibri" w:cs="Times New Roman"/>
          <w:lang w:bidi="ar"/>
        </w:rPr>
        <w:t xml:space="preserve">                             </w:t>
      </w:r>
      <w:r>
        <w:rPr>
          <w:rFonts w:ascii="黑体" w:eastAsia="黑体" w:hAnsi="Calibri" w:cs="黑体" w:hint="eastAsia"/>
          <w:lang w:bidi="ar"/>
        </w:rPr>
        <w:t>202</w:t>
      </w:r>
      <w:r w:rsidR="006076F1">
        <w:rPr>
          <w:rFonts w:ascii="黑体" w:eastAsia="黑体" w:hAnsi="Calibri" w:cs="黑体" w:hint="eastAsia"/>
          <w:lang w:bidi="ar"/>
        </w:rPr>
        <w:t>4</w:t>
      </w:r>
      <w:r>
        <w:rPr>
          <w:rFonts w:ascii="黑体" w:eastAsia="黑体" w:hAnsi="宋体" w:cs="黑体" w:hint="eastAsia"/>
          <w:lang w:bidi="ar"/>
        </w:rPr>
        <w:t>年3月3</w:t>
      </w:r>
      <w:r w:rsidR="006076F1">
        <w:rPr>
          <w:rFonts w:ascii="黑体" w:eastAsia="黑体" w:hAnsi="宋体" w:cs="黑体" w:hint="eastAsia"/>
          <w:lang w:bidi="ar"/>
        </w:rPr>
        <w:t>0</w:t>
      </w:r>
      <w:r>
        <w:rPr>
          <w:rFonts w:ascii="黑体" w:eastAsia="黑体" w:hAnsi="宋体" w:cs="黑体" w:hint="eastAsia"/>
          <w:lang w:bidi="ar"/>
        </w:rPr>
        <w:t>日</w:t>
      </w:r>
    </w:p>
    <w:p w14:paraId="427A4BCE" w14:textId="77777777"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14:anchorId="6FE7C8BB" wp14:editId="2A0C9EEE">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2EFC2759"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" strokecolor="red" strokeweight="2.25pt"/>
            </w:pict>
          </mc:Fallback>
        </mc:AlternateContent>
      </w:r>
    </w:p>
    <w:p w14:paraId="68BAF13B" w14:textId="77777777" w:rsidR="002916EF" w:rsidRDefault="00EF1E42">
      <w:pPr>
        <w:spacing w:line="400" w:lineRule="exact"/>
        <w:ind w:firstLine="880"/>
        <w:rPr>
          <w:rFonts w:ascii="黑体" w:eastAsia="黑体" w:hAnsi="宋体" w:cs="黑体" w:hint="eastAsia"/>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14:anchorId="4139D7B8" wp14:editId="63157DB7">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C7AB49A"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"/>
            </w:pict>
          </mc:Fallback>
        </mc:AlternateContent>
      </w:r>
      <w:r>
        <w:rPr>
          <w:rFonts w:ascii="黑体" w:eastAsia="黑体" w:hAnsi="宋体" w:cs="黑体" w:hint="eastAsia"/>
          <w:sz w:val="44"/>
          <w:szCs w:val="44"/>
          <w:lang w:bidi="ar"/>
        </w:rPr>
        <w:t>目  录</w:t>
      </w:r>
    </w:p>
    <w:p w14:paraId="62B58DC8" w14:textId="77777777" w:rsidR="005D3DEB" w:rsidRPr="005D3DEB" w:rsidRDefault="005D3DEB" w:rsidP="005D3DEB">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5D3DEB">
        <w:rPr>
          <w:rFonts w:ascii="Helvetica" w:hAnsi="Helvetica" w:cs="Helvetica"/>
          <w:b w:val="0"/>
          <w:bCs/>
          <w:color w:val="37474F"/>
          <w:sz w:val="28"/>
          <w:szCs w:val="28"/>
        </w:rPr>
        <w:t>“双高”建设院校自评亟须找准三块“板”</w:t>
      </w:r>
    </w:p>
    <w:p w14:paraId="2995237E" w14:textId="77777777" w:rsidR="005D3DEB" w:rsidRPr="005D3DEB" w:rsidRDefault="005D3DEB" w:rsidP="005D3DEB">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5D3DEB">
        <w:rPr>
          <w:rFonts w:ascii="Helvetica" w:hAnsi="Helvetica" w:cs="Helvetica"/>
          <w:b w:val="0"/>
          <w:bCs/>
          <w:color w:val="37474F"/>
          <w:sz w:val="28"/>
          <w:szCs w:val="28"/>
        </w:rPr>
        <w:t>要让人们愿意上职业学校需协同努力</w:t>
      </w:r>
    </w:p>
    <w:p w14:paraId="70D2B14F" w14:textId="77777777" w:rsidR="008435BD" w:rsidRPr="008435BD" w:rsidRDefault="008435BD" w:rsidP="008435BD">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8435BD">
        <w:rPr>
          <w:rFonts w:ascii="Helvetica" w:hAnsi="Helvetica" w:cs="Helvetica"/>
          <w:b w:val="0"/>
          <w:bCs/>
          <w:color w:val="37474F"/>
          <w:sz w:val="28"/>
          <w:szCs w:val="28"/>
        </w:rPr>
        <w:t>以数字变革推进教育强国建设</w:t>
      </w:r>
    </w:p>
    <w:p w14:paraId="13974214" w14:textId="77777777" w:rsidR="003B4E4F" w:rsidRPr="003B4E4F" w:rsidRDefault="003B4E4F" w:rsidP="003B4E4F">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3B4E4F">
        <w:rPr>
          <w:rFonts w:ascii="Helvetica" w:hAnsi="Helvetica" w:cs="Helvetica"/>
          <w:b w:val="0"/>
          <w:bCs/>
          <w:color w:val="37474F"/>
          <w:sz w:val="28"/>
          <w:szCs w:val="28"/>
        </w:rPr>
        <w:t>以数字教材深化职教专业课程改革</w:t>
      </w:r>
    </w:p>
    <w:p w14:paraId="3132A586" w14:textId="77777777" w:rsidR="00F0142B" w:rsidRPr="00F0142B" w:rsidRDefault="00F0142B" w:rsidP="00F0142B">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F0142B">
        <w:rPr>
          <w:rFonts w:ascii="Helvetica" w:hAnsi="Helvetica" w:cs="Helvetica"/>
          <w:b w:val="0"/>
          <w:bCs/>
          <w:color w:val="37474F"/>
          <w:sz w:val="28"/>
          <w:szCs w:val="28"/>
        </w:rPr>
        <w:t>与时代共舞</w:t>
      </w:r>
      <w:r w:rsidRPr="00F0142B">
        <w:rPr>
          <w:rFonts w:ascii="Helvetica" w:hAnsi="Helvetica" w:cs="Helvetica"/>
          <w:b w:val="0"/>
          <w:bCs/>
          <w:color w:val="37474F"/>
          <w:sz w:val="28"/>
          <w:szCs w:val="28"/>
        </w:rPr>
        <w:t xml:space="preserve"> </w:t>
      </w:r>
      <w:r w:rsidRPr="00F0142B">
        <w:rPr>
          <w:rFonts w:ascii="Helvetica" w:hAnsi="Helvetica" w:cs="Helvetica"/>
          <w:b w:val="0"/>
          <w:bCs/>
          <w:color w:val="37474F"/>
          <w:sz w:val="28"/>
          <w:szCs w:val="28"/>
        </w:rPr>
        <w:t>彰显职业教育贡献力</w:t>
      </w:r>
    </w:p>
    <w:p w14:paraId="27EA4ED8" w14:textId="77777777" w:rsidR="0015211A" w:rsidRPr="0015211A" w:rsidRDefault="0015211A" w:rsidP="0015211A">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15211A">
        <w:rPr>
          <w:rFonts w:ascii="Helvetica" w:hAnsi="Helvetica" w:cs="Helvetica"/>
          <w:b w:val="0"/>
          <w:bCs/>
          <w:color w:val="37474F"/>
          <w:sz w:val="28"/>
          <w:szCs w:val="28"/>
        </w:rPr>
        <w:t>高职院校是培养乡村本土人才主力军</w:t>
      </w:r>
    </w:p>
    <w:p w14:paraId="4DF101B1" w14:textId="77777777" w:rsidR="00E23EF0" w:rsidRPr="00E23EF0" w:rsidRDefault="00E23EF0" w:rsidP="00E23EF0">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E23EF0">
        <w:rPr>
          <w:rFonts w:ascii="Helvetica" w:hAnsi="Helvetica" w:cs="Helvetica"/>
          <w:b w:val="0"/>
          <w:bCs/>
          <w:color w:val="37474F"/>
          <w:sz w:val="28"/>
          <w:szCs w:val="28"/>
        </w:rPr>
        <w:t>抓立地式科技创新</w:t>
      </w:r>
      <w:r w:rsidRPr="00E23EF0">
        <w:rPr>
          <w:rFonts w:ascii="Helvetica" w:hAnsi="Helvetica" w:cs="Helvetica"/>
          <w:b w:val="0"/>
          <w:bCs/>
          <w:color w:val="37474F"/>
          <w:sz w:val="28"/>
          <w:szCs w:val="28"/>
        </w:rPr>
        <w:t xml:space="preserve"> </w:t>
      </w:r>
      <w:r w:rsidRPr="00E23EF0">
        <w:rPr>
          <w:rFonts w:ascii="Helvetica" w:hAnsi="Helvetica" w:cs="Helvetica"/>
          <w:b w:val="0"/>
          <w:bCs/>
          <w:color w:val="37474F"/>
          <w:sz w:val="28"/>
          <w:szCs w:val="28"/>
        </w:rPr>
        <w:t>促新质生产力发展</w:t>
      </w:r>
    </w:p>
    <w:p w14:paraId="5025396A" w14:textId="77777777" w:rsidR="009F0782" w:rsidRPr="009F0782" w:rsidRDefault="009F0782" w:rsidP="009F0782">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9F0782">
        <w:rPr>
          <w:rFonts w:ascii="Helvetica" w:hAnsi="Helvetica" w:cs="Helvetica"/>
          <w:b w:val="0"/>
          <w:bCs/>
          <w:color w:val="37474F"/>
          <w:sz w:val="28"/>
          <w:szCs w:val="28"/>
        </w:rPr>
        <w:t>发展新质生产力，职业院校当何为</w:t>
      </w:r>
    </w:p>
    <w:p w14:paraId="01FE0D90" w14:textId="77777777" w:rsidR="009F0782" w:rsidRDefault="009F0782" w:rsidP="005D3DEB">
      <w:pPr>
        <w:spacing w:line="500" w:lineRule="exact"/>
        <w:ind w:firstLineChars="200" w:firstLine="482"/>
        <w:rPr>
          <w:rFonts w:ascii="宋体" w:eastAsia="宋体" w:hAnsi="宋体"/>
          <w:b/>
          <w:bCs/>
        </w:rPr>
      </w:pPr>
    </w:p>
    <w:p w14:paraId="5F59E125" w14:textId="77777777" w:rsidR="009F0782" w:rsidRDefault="009F0782" w:rsidP="005D3DEB">
      <w:pPr>
        <w:spacing w:line="500" w:lineRule="exact"/>
        <w:ind w:firstLineChars="200" w:firstLine="482"/>
        <w:rPr>
          <w:rFonts w:ascii="宋体" w:eastAsia="宋体" w:hAnsi="宋体"/>
          <w:b/>
          <w:bCs/>
        </w:rPr>
      </w:pPr>
    </w:p>
    <w:p w14:paraId="4341BC04" w14:textId="77777777" w:rsidR="009F0782" w:rsidRDefault="009F0782" w:rsidP="005D3DEB">
      <w:pPr>
        <w:spacing w:line="500" w:lineRule="exact"/>
        <w:ind w:firstLineChars="200" w:firstLine="482"/>
        <w:rPr>
          <w:rFonts w:ascii="宋体" w:eastAsia="宋体" w:hAnsi="宋体"/>
          <w:b/>
          <w:bCs/>
        </w:rPr>
      </w:pPr>
    </w:p>
    <w:p w14:paraId="0713E1D4" w14:textId="77777777" w:rsidR="009F0782" w:rsidRDefault="009F0782" w:rsidP="005D3DEB">
      <w:pPr>
        <w:spacing w:line="500" w:lineRule="exact"/>
        <w:ind w:firstLineChars="200" w:firstLine="482"/>
        <w:rPr>
          <w:rFonts w:ascii="宋体" w:eastAsia="宋体" w:hAnsi="宋体"/>
          <w:b/>
          <w:bCs/>
        </w:rPr>
      </w:pPr>
    </w:p>
    <w:p w14:paraId="2FF80720" w14:textId="77777777" w:rsidR="009F0782" w:rsidRDefault="009F0782" w:rsidP="005D3DEB">
      <w:pPr>
        <w:spacing w:line="500" w:lineRule="exact"/>
        <w:ind w:firstLineChars="200" w:firstLine="482"/>
        <w:rPr>
          <w:rFonts w:ascii="宋体" w:eastAsia="宋体" w:hAnsi="宋体"/>
          <w:b/>
          <w:bCs/>
        </w:rPr>
      </w:pPr>
    </w:p>
    <w:p w14:paraId="0E7DFBF3" w14:textId="77777777" w:rsidR="009F0782" w:rsidRDefault="009F0782" w:rsidP="005D3DEB">
      <w:pPr>
        <w:spacing w:line="500" w:lineRule="exact"/>
        <w:ind w:firstLineChars="200" w:firstLine="482"/>
        <w:rPr>
          <w:rFonts w:ascii="宋体" w:eastAsia="宋体" w:hAnsi="宋体"/>
          <w:b/>
          <w:bCs/>
        </w:rPr>
      </w:pPr>
    </w:p>
    <w:p w14:paraId="6F8DEE04" w14:textId="77777777" w:rsidR="009F0782" w:rsidRDefault="009F0782" w:rsidP="005D3DEB">
      <w:pPr>
        <w:spacing w:line="500" w:lineRule="exact"/>
        <w:ind w:firstLineChars="200" w:firstLine="482"/>
        <w:rPr>
          <w:rFonts w:ascii="宋体" w:eastAsia="宋体" w:hAnsi="宋体"/>
          <w:b/>
          <w:bCs/>
        </w:rPr>
      </w:pPr>
    </w:p>
    <w:p w14:paraId="3DC3D7C3" w14:textId="12375393" w:rsidR="005D3DEB" w:rsidRPr="005D3DEB" w:rsidRDefault="005D3DEB" w:rsidP="005D3DEB">
      <w:pPr>
        <w:spacing w:line="500" w:lineRule="exact"/>
        <w:ind w:firstLineChars="200" w:firstLine="482"/>
        <w:rPr>
          <w:rFonts w:ascii="宋体" w:eastAsia="宋体" w:hAnsi="宋体"/>
          <w:b/>
          <w:bCs/>
        </w:rPr>
      </w:pPr>
      <w:r w:rsidRPr="005D3DEB">
        <w:rPr>
          <w:rFonts w:ascii="宋体" w:eastAsia="宋体" w:hAnsi="宋体"/>
          <w:b/>
          <w:bCs/>
        </w:rPr>
        <w:lastRenderedPageBreak/>
        <w:t>“双高”建设院校自评亟须找准三块“板”</w:t>
      </w:r>
    </w:p>
    <w:p w14:paraId="66A8F960" w14:textId="77777777" w:rsidR="005D3DEB" w:rsidRPr="005D3DEB" w:rsidRDefault="005D3DEB" w:rsidP="005D3DEB">
      <w:pPr>
        <w:spacing w:line="500" w:lineRule="exact"/>
        <w:ind w:firstLineChars="200" w:firstLine="480"/>
        <w:jc w:val="left"/>
        <w:rPr>
          <w:rFonts w:ascii="宋体" w:eastAsia="宋体" w:hAnsi="宋体"/>
        </w:rPr>
      </w:pPr>
      <w:r w:rsidRPr="005D3DEB">
        <w:rPr>
          <w:rFonts w:ascii="宋体" w:eastAsia="宋体" w:hAnsi="宋体" w:hint="eastAsia"/>
        </w:rPr>
        <w:t>近日，教育部、财政部联合启动“双高计划”（2019—2023年）绩效评价工作。各建设单位作为高职类型教育改革的探索者，亟须将“唯指标论”的“迎评”心态转变为“以评促建、以评促改”的“自评”心理，将站在教育、面向产业、服务产业的“路径依赖”转变为站在产业、审视教育、提高能力的“反向思维”，找准绩效评价中的三块“板”，以此作为院校层面“双高”建设终期绩效评价工作的基本前提。</w:t>
      </w:r>
    </w:p>
    <w:p w14:paraId="7B73D80A" w14:textId="77777777" w:rsidR="005D3DEB" w:rsidRPr="005D3DEB" w:rsidRDefault="005D3DEB" w:rsidP="005D3DEB">
      <w:pPr>
        <w:spacing w:line="500" w:lineRule="exact"/>
        <w:ind w:firstLineChars="200" w:firstLine="480"/>
        <w:jc w:val="left"/>
        <w:rPr>
          <w:rFonts w:ascii="宋体" w:eastAsia="宋体" w:hAnsi="宋体"/>
        </w:rPr>
      </w:pPr>
      <w:r w:rsidRPr="005D3DEB">
        <w:rPr>
          <w:rFonts w:ascii="宋体" w:eastAsia="宋体" w:hAnsi="宋体" w:hint="eastAsia"/>
        </w:rPr>
        <w:t>突出“长板”。充分体现预期目标的完成程度和进步程度。即站在产业经济发展对人才要求的角度，对照发展基础和自己设定的目标，审视学校取得了多少进步、实现了哪些成效、提升了什么能力，进而把相关任务的完成程度、努力程度充分体现出来。可以考虑的指标和评价方式，主要包括：一是关键指标的完成程度。可以通过相关指标的数量和质量，以及产出的经济效益来评价“双高”项目在关键指标上的实际完成情况，如科研成果产出、高技能人才培养、技术转移和产业化等方面。二是管理创新的思路和成效。可以通过改革措施的实施情况和效果，以及管理效率的提升情况来评价“双高”项目在管理创新方面的努力和成效，如机制改革、组织架构优化、人才引进和激励等方面。三是合作交流的程度。可以通过合作的数量和质量、国际交流的频率和影响力，以及合作成果的实际应用情况来评价“双高”项目在产学研合作和国际合作等方面的成果。四是优势特色的发展程度。可以通过相关专业或行业的排名、同行认可、成果引用、专利申请与转化等来评价“双高”建设在重点领域的发展情况，判断是否形成了自身的优势特色，以及在国内外的影响力和比较优势。总的来说，要突出“双高”项目的“长板”，评价的视角应该是站在产业角度来审视教育，注重项目的独特优势和突出成绩，充分考虑项目的整体目标完成情况和努力程度，进而综合评估项目的绩效和贡献。</w:t>
      </w:r>
    </w:p>
    <w:p w14:paraId="2633E481" w14:textId="77777777" w:rsidR="005D3DEB" w:rsidRPr="005D3DEB" w:rsidRDefault="005D3DEB" w:rsidP="005D3DEB">
      <w:pPr>
        <w:spacing w:line="500" w:lineRule="exact"/>
        <w:ind w:firstLineChars="200" w:firstLine="480"/>
        <w:jc w:val="left"/>
        <w:rPr>
          <w:rFonts w:ascii="宋体" w:eastAsia="宋体" w:hAnsi="宋体"/>
        </w:rPr>
      </w:pPr>
      <w:r w:rsidRPr="005D3DEB">
        <w:rPr>
          <w:rFonts w:ascii="宋体" w:eastAsia="宋体" w:hAnsi="宋体" w:hint="eastAsia"/>
        </w:rPr>
        <w:t>补齐“短板”。明晰距离标杆的差距进而精准推动改革。即站在产业经济发展对人才要求的角度，对照同类型学校、同类或相近专业（群），审视学校所处的水</w:t>
      </w:r>
      <w:r w:rsidRPr="005D3DEB">
        <w:rPr>
          <w:rFonts w:ascii="宋体" w:eastAsia="宋体" w:hAnsi="宋体" w:hint="eastAsia"/>
        </w:rPr>
        <w:lastRenderedPageBreak/>
        <w:t>平、所在的梯队，以及距离标杆还有多少差距。进而，采用以下方法精准推动发展改革：一是鉴定“短板”。可以站在产业角度，通过科技研发、工艺改进、师资力量、创新能力、国际影响力等方面的指标，进行综合评估和对比分析，找出“双高”建设中存在的“短板”和不足之处。二是分析原因。可以通过调研、访谈、数据统计和对比分析等方式，对“短板”问题进行深入剖析，找出产生原因和影响因素。三是设定目标。可以根据国内外领先的学科专业、高水平学校或研究机构的发展状况和实践经验作为参考，明确标杆和目标，根据现状和未来发展需求，确定合理的目标和指标，真正实现引领改革、支撑发展的“双高计划”核心价值。四是制定未来改革方案。鉴于“双高”建设引领着中国职业教育深化改革的方向，决定着中国职业教育向世界职业教育能够贡献的力量，学校理应根据“短板”问题和目标需求，站在产业经济发展对人才要求的角度，在改进科研管理机制、加强师资队伍建设、提升创新人才培养质量等方面，制定学校未来具体的改革方案和措施，以实际行动推动“双高”建设向更高水平迈进。</w:t>
      </w:r>
    </w:p>
    <w:p w14:paraId="2FD1FFDB" w14:textId="77777777" w:rsidR="005D3DEB" w:rsidRPr="005D3DEB" w:rsidRDefault="005D3DEB" w:rsidP="005D3DEB">
      <w:pPr>
        <w:spacing w:line="500" w:lineRule="exact"/>
        <w:ind w:firstLineChars="200" w:firstLine="480"/>
        <w:jc w:val="left"/>
        <w:rPr>
          <w:rFonts w:ascii="宋体" w:eastAsia="宋体" w:hAnsi="宋体"/>
        </w:rPr>
      </w:pPr>
      <w:r w:rsidRPr="005D3DEB">
        <w:rPr>
          <w:rFonts w:ascii="宋体" w:eastAsia="宋体" w:hAnsi="宋体" w:hint="eastAsia"/>
        </w:rPr>
        <w:t>锻造“新板”。站在产业经济发展对人才要求的角度审视教育，明确学校新的发展目标。院校层面需要切实把握产业链与教育链紧密对接，找寻校企合作最大公约数，真正实现“跳出职教看职教，立足产业办职教”。一方面，需要了解和关注当前产业经济的发展趋势和需求，以及人才在其中的角色和作用。通过分析产业经济的需求，更进一步厘清学校未来的发展重点，使教育与产业经济相互促进和融合发展，提高人才培养的质量和效果。另一方面，院校层面通过站在产业的角度，反观其办学定位，确定学校新的发展目标，即学校创新发展的指导思想和方向，涵盖学校的目标、特色、定位和特点等方面。进而以“反向思维”寻求创新和突破，制定相应的发展策略和措施，从而实现以“双高”建设为抓手，更好地发挥学校的优势和特色，提高学校的绩效和竞争力，促进学校迈向更高水平的目标。</w:t>
      </w:r>
    </w:p>
    <w:p w14:paraId="178FD85C" w14:textId="3828BBE9" w:rsidR="005D3DEB" w:rsidRPr="005D3DEB" w:rsidRDefault="005D3DEB" w:rsidP="005D3DEB">
      <w:pPr>
        <w:spacing w:line="500" w:lineRule="exact"/>
        <w:ind w:firstLineChars="200" w:firstLine="480"/>
        <w:jc w:val="left"/>
        <w:rPr>
          <w:rFonts w:ascii="宋体" w:eastAsia="宋体" w:hAnsi="宋体"/>
        </w:rPr>
      </w:pPr>
      <w:r w:rsidRPr="005D3DEB">
        <w:rPr>
          <w:rFonts w:ascii="宋体" w:eastAsia="宋体" w:hAnsi="宋体" w:hint="eastAsia"/>
        </w:rPr>
        <w:t>高职学校与经济社会联系最紧密、服务产业发展最直接，应发挥人才培养主体作用，紧紧抓住“双高”建设绩效评价契机，一方面研判面向高端产业和产业高端，</w:t>
      </w:r>
      <w:r w:rsidRPr="005D3DEB">
        <w:rPr>
          <w:rFonts w:ascii="宋体" w:eastAsia="宋体" w:hAnsi="宋体" w:hint="eastAsia"/>
        </w:rPr>
        <w:lastRenderedPageBreak/>
        <w:t>提供优质人才资源的能力，另一方面审视面向人的全面发展，构建德智体美劳全面发展人才培养教育体系的使命和要求，进而充分回应国家经济社会发展需要、教育现代化发展需要、更加公平更有质量的职业教育发展诉求。（作者：宗诚，单位系中国教育科学研究院职业与继续教育研究所</w:t>
      </w:r>
      <w:r w:rsidRPr="005D3DEB">
        <w:rPr>
          <w:rFonts w:ascii="宋体" w:eastAsia="宋体" w:hAnsi="宋体" w:hint="eastAsia"/>
        </w:rPr>
        <w:t xml:space="preserve">  </w:t>
      </w:r>
      <w:r w:rsidRPr="005D3DEB">
        <w:rPr>
          <w:rFonts w:ascii="宋体" w:eastAsia="宋体" w:hAnsi="宋体"/>
        </w:rPr>
        <w:t>来源: 《中国教育报》2024年1月30日03版</w:t>
      </w:r>
      <w:r w:rsidRPr="005D3DEB">
        <w:rPr>
          <w:rFonts w:ascii="宋体" w:eastAsia="宋体" w:hAnsi="宋体" w:hint="eastAsia"/>
        </w:rPr>
        <w:t>）</w:t>
      </w:r>
    </w:p>
    <w:p w14:paraId="7B2A2836" w14:textId="77777777" w:rsidR="005D3DEB" w:rsidRPr="005D3DEB" w:rsidRDefault="005D3DEB" w:rsidP="005D3DEB">
      <w:pPr>
        <w:spacing w:line="500" w:lineRule="exact"/>
        <w:ind w:firstLineChars="200" w:firstLine="482"/>
        <w:rPr>
          <w:rFonts w:ascii="宋体" w:eastAsia="宋体" w:hAnsi="宋体"/>
          <w:b/>
          <w:bCs/>
        </w:rPr>
      </w:pPr>
      <w:r w:rsidRPr="005D3DEB">
        <w:rPr>
          <w:rFonts w:ascii="宋体" w:eastAsia="宋体" w:hAnsi="宋体"/>
          <w:b/>
          <w:bCs/>
        </w:rPr>
        <w:t>要让人们愿意上职业学校需协同努力</w:t>
      </w:r>
    </w:p>
    <w:p w14:paraId="3EFAF6EC" w14:textId="77777777" w:rsidR="005D3DEB" w:rsidRPr="005D3DEB" w:rsidRDefault="005D3DEB" w:rsidP="005D3DEB">
      <w:pPr>
        <w:spacing w:line="500" w:lineRule="exact"/>
        <w:ind w:firstLineChars="200" w:firstLine="480"/>
        <w:jc w:val="left"/>
        <w:rPr>
          <w:rFonts w:ascii="宋体" w:eastAsia="宋体" w:hAnsi="宋体"/>
        </w:rPr>
      </w:pPr>
      <w:r w:rsidRPr="005D3DEB">
        <w:rPr>
          <w:rFonts w:ascii="宋体" w:eastAsia="宋体" w:hAnsi="宋体" w:hint="eastAsia"/>
        </w:rPr>
        <w:t>发展职业教育是国家战略。职业教育在促进经济发展、实现教育普及与社会公平，以及为青年提供多样化成才途径中发挥着重要功能。增强职业教育适应性和吸引力，当下要着力解决的问题是构建技能学习的社会动力机制，让人们愿意上职业学校。</w:t>
      </w:r>
    </w:p>
    <w:p w14:paraId="3CDFA456" w14:textId="77777777" w:rsidR="005D3DEB" w:rsidRPr="005D3DEB" w:rsidRDefault="005D3DEB" w:rsidP="005D3DEB">
      <w:pPr>
        <w:spacing w:line="500" w:lineRule="exact"/>
        <w:ind w:firstLineChars="200" w:firstLine="480"/>
        <w:jc w:val="left"/>
        <w:rPr>
          <w:rFonts w:ascii="宋体" w:eastAsia="宋体" w:hAnsi="宋体"/>
        </w:rPr>
      </w:pPr>
      <w:r w:rsidRPr="005D3DEB">
        <w:rPr>
          <w:rFonts w:ascii="宋体" w:eastAsia="宋体" w:hAnsi="宋体" w:hint="eastAsia"/>
        </w:rPr>
        <w:t>为什么有些普通学校的办学条件也不好，人们却趋之若鹜？这是因为人们在选择教育时，首先要考虑此类教育能给他们带来什么生涯发展空间，包括升学和就业两个方面。比如过去的中专学校和技工学校都很受欢迎，原因就在于读完中专可以获得干部身份，读完技工学校可以进国有企业工作。国家从宏观层面对教育发展有长远规划，但民众对教育的选择是很朴实的，只有对民众的教育需求进行合理引导，才能使他们朝着国家教育目标方向发展。职业院校学生在升学和就业两个方面的路径都很窄，且导向的结果层次不高，成为让他们不愿意选择职业教育的关键因素。在升学方面，中等职业学校学生虽然也有许多升入高等教育的机会，但一方面相对普通高中学生而言，其选择机会很少，比如通过对口招生，只有机会进入当地一所高校的一个专业；另一方面升入的学校层次不高，他们往往只有机会升入高职，很少有机会升入地方普通本科，升入高水平大学基本不可能。进入职业学校后，不管他们如何努力，也只能获得非常有限的升学机会，这种状况严重挫伤了学生的学习积极性，也挫伤了教师的教学积极性，成为影响职业学校教学质量的重要因素。在就业方面，由于技能人才非常短缺，职业院校学生就业率很高，但他们的收入总体上不高，工作稳定性差。虽然技能人才中不乏有高收入者，比如在长三角地区，有</w:t>
      </w:r>
      <w:r w:rsidRPr="005D3DEB">
        <w:rPr>
          <w:rFonts w:ascii="宋体" w:eastAsia="宋体" w:hAnsi="宋体" w:hint="eastAsia"/>
        </w:rPr>
        <w:lastRenderedPageBreak/>
        <w:t>的企业的首席技师工资年薪高达百万元，但这些人毕竟是少数。另外，在企业工作时，职校毕业生往往处于员工结构的非优势层。媒体对少数技能人才成功的宣传，不能改变由于多数技能人才就业状况不佳，而给民众带来的对职业教育的负面印象。</w:t>
      </w:r>
    </w:p>
    <w:p w14:paraId="6AB04098" w14:textId="77777777" w:rsidR="005D3DEB" w:rsidRPr="005D3DEB" w:rsidRDefault="005D3DEB" w:rsidP="005D3DEB">
      <w:pPr>
        <w:spacing w:line="500" w:lineRule="exact"/>
        <w:ind w:firstLineChars="200" w:firstLine="480"/>
        <w:jc w:val="left"/>
        <w:rPr>
          <w:rFonts w:ascii="宋体" w:eastAsia="宋体" w:hAnsi="宋体"/>
        </w:rPr>
      </w:pPr>
      <w:r w:rsidRPr="005D3DEB">
        <w:rPr>
          <w:rFonts w:ascii="宋体" w:eastAsia="宋体" w:hAnsi="宋体" w:hint="eastAsia"/>
        </w:rPr>
        <w:t>解决上述问题，一是要适度加快职业本科教育发展步伐。可以给职业院校学生提供更多升入本科教育的机会，以期在一定程度上扭转社会对职业教育层次低下的印象，还可以使职业院校学生在就业时突破一些制度障碍，获得更加公平的就业机会。二是要构建与普通高考平行的职教高考制度。该制度的核心是拓宽中职学生对高校的选择机会，尤其是本科教育的选择机会，燃起他们对未来的期望。实施这一制度不仅能在很大程度上扭转目前职业教育的发展格局，而且有助于促进普职融通和高等教育的多样化发展。三是要着力构建国家职业能力证书制度。德国、英国、澳大利亚等国家建立了非常具有权威性的职业能力证书体系，实践表明，这种制度对职业教育发展发挥了非常重要的支撑作用。设立国家职业能力证书制度，可以提升技能人才的自豪感，提升他们在就业时的地位和竞争力，激发他们提升技能水平的积极性，还可以降低企业员工招聘的成本。</w:t>
      </w:r>
    </w:p>
    <w:p w14:paraId="6948B76A" w14:textId="188BF4D4" w:rsidR="005D3DEB" w:rsidRPr="005D3DEB" w:rsidRDefault="005D3DEB" w:rsidP="005D3DEB">
      <w:pPr>
        <w:spacing w:line="500" w:lineRule="exact"/>
        <w:ind w:firstLineChars="200" w:firstLine="480"/>
        <w:jc w:val="left"/>
        <w:rPr>
          <w:rFonts w:ascii="宋体" w:eastAsia="宋体" w:hAnsi="宋体"/>
        </w:rPr>
      </w:pPr>
      <w:r w:rsidRPr="005D3DEB">
        <w:rPr>
          <w:rFonts w:ascii="宋体" w:eastAsia="宋体" w:hAnsi="宋体" w:hint="eastAsia"/>
        </w:rPr>
        <w:t>此外，提升职业教育课程建设水平。职业院校的专业课教学，多数处于教师自己教、自己考的状态，教考一体。当前，对职业院校的教学监督还有待加强。有些职业学校的管理也很松散，在社会上造成了职业教育的负面印象。企业实践教学组织松散、学习内容空心化。企业实践教学是职业教育人才培养的重要环节，但企业实践教学内容体系与制度体系均不健全的前提下，其质量很不理想，有时甚至被部分职业院校视为把学生送到企业做廉价劳动力的政策依据。有些家长把职业教育理解为送子女到企业做工，对职业教育的印象不佳。职业教育高质量发展要在技能培养上下功夫，凸显以实践为核心的人才培养特色，满足职业院校学生对高水平职业技能掌握的需求，提高学生的就业竞争力。（作者：徐国庆，华东师范大学职业教育与成人教育研究所所长、教授</w:t>
      </w:r>
      <w:r>
        <w:rPr>
          <w:rFonts w:ascii="宋体" w:eastAsia="宋体" w:hAnsi="宋体" w:hint="eastAsia"/>
        </w:rPr>
        <w:t xml:space="preserve">  </w:t>
      </w:r>
      <w:r w:rsidRPr="005D3DEB">
        <w:rPr>
          <w:rFonts w:ascii="宋体" w:eastAsia="宋体" w:hAnsi="宋体"/>
        </w:rPr>
        <w:t>来源: 《人民政协报》 2024年02月07日第10 版</w:t>
      </w:r>
      <w:r w:rsidRPr="005D3DEB">
        <w:rPr>
          <w:rFonts w:ascii="宋体" w:eastAsia="宋体" w:hAnsi="宋体" w:hint="eastAsia"/>
        </w:rPr>
        <w:t>）</w:t>
      </w:r>
    </w:p>
    <w:p w14:paraId="39E614AA" w14:textId="77777777" w:rsidR="008435BD" w:rsidRDefault="008435BD" w:rsidP="008435BD">
      <w:pPr>
        <w:spacing w:line="500" w:lineRule="exact"/>
        <w:ind w:firstLineChars="200" w:firstLine="482"/>
        <w:rPr>
          <w:rFonts w:ascii="宋体" w:eastAsia="宋体" w:hAnsi="宋体"/>
          <w:b/>
          <w:bCs/>
        </w:rPr>
      </w:pPr>
      <w:r w:rsidRPr="008435BD">
        <w:rPr>
          <w:rFonts w:ascii="宋体" w:eastAsia="宋体" w:hAnsi="宋体"/>
          <w:b/>
          <w:bCs/>
        </w:rPr>
        <w:t>以数字变革推进教育强国建设</w:t>
      </w:r>
    </w:p>
    <w:p w14:paraId="11157D52" w14:textId="77777777" w:rsidR="008435BD" w:rsidRPr="008435BD" w:rsidRDefault="008435BD" w:rsidP="008435BD">
      <w:pPr>
        <w:spacing w:line="500" w:lineRule="exact"/>
        <w:ind w:firstLineChars="200" w:firstLine="480"/>
        <w:jc w:val="left"/>
        <w:rPr>
          <w:rFonts w:ascii="宋体" w:eastAsia="宋体" w:hAnsi="宋体"/>
        </w:rPr>
      </w:pPr>
      <w:r w:rsidRPr="008435BD">
        <w:rPr>
          <w:rFonts w:ascii="宋体" w:eastAsia="宋体" w:hAnsi="宋体" w:hint="eastAsia"/>
        </w:rPr>
        <w:lastRenderedPageBreak/>
        <w:t>日前，2024世界数字教育大会在上海举办。会议期间，来自70余个国家及地区的800余名嘉宾，围绕“数字教育：应用、共享、创新”主题，深入探讨世界数字教育变革与合作。顺应数字潮流，推进教育变革和创新，对于教育强国建设具有重要意义。</w:t>
      </w:r>
    </w:p>
    <w:p w14:paraId="00757E19" w14:textId="1A5B5F5D" w:rsidR="008435BD" w:rsidRPr="008435BD" w:rsidRDefault="008435BD" w:rsidP="008435BD">
      <w:pPr>
        <w:spacing w:line="500" w:lineRule="exact"/>
        <w:ind w:firstLineChars="200" w:firstLine="480"/>
        <w:jc w:val="left"/>
        <w:rPr>
          <w:rFonts w:ascii="宋体" w:eastAsia="宋体" w:hAnsi="宋体" w:hint="eastAsia"/>
        </w:rPr>
      </w:pPr>
      <w:r w:rsidRPr="008435BD">
        <w:rPr>
          <w:rFonts w:ascii="宋体" w:eastAsia="宋体" w:hAnsi="宋体" w:hint="eastAsia"/>
        </w:rPr>
        <w:t>随着以人工智能为主导的现代数字科技的深入发展，我国已进入到第四次工业革命引领社会发展的全新数字化时代，教育的数字化趋势越来越迫切。将数字技术与教育相结合，有助于推进教育内容和形式变革，促进建立“全民学、随处学、随时学”的学习型社会。数字教育具有公平、开放、共享等特征，在促进人的公平、全面发展方面可以发挥重要作用。加快数字教育建设，还将推动构建人类命运共同体，为国际人文合作搭建桥梁。教育数字化是开辟教育发展新赛道和塑造教育发展新优势的重要突破口，进一步推进数字教育，将为个性化学习、终身学习、扩大优质教育资源覆盖面和教育现代化提供有效支撑。</w:t>
      </w:r>
    </w:p>
    <w:p w14:paraId="36732740" w14:textId="3E6622AA" w:rsidR="008435BD" w:rsidRPr="008435BD" w:rsidRDefault="008435BD" w:rsidP="008435BD">
      <w:pPr>
        <w:spacing w:line="500" w:lineRule="exact"/>
        <w:ind w:firstLineChars="200" w:firstLine="480"/>
        <w:jc w:val="left"/>
        <w:rPr>
          <w:rFonts w:ascii="宋体" w:eastAsia="宋体" w:hAnsi="宋体" w:hint="eastAsia"/>
        </w:rPr>
      </w:pPr>
      <w:r w:rsidRPr="008435BD">
        <w:rPr>
          <w:rFonts w:ascii="宋体" w:eastAsia="宋体" w:hAnsi="宋体" w:hint="eastAsia"/>
        </w:rPr>
        <w:t>为促进教育与现代数字科技深度融合，推动实现教育数字化转型升级，我国先后出台了一系列重要政策文件，如《教育信息化十年发展规划（2011—2020年）》《教育信息化“十三五”规划》《教育部关于数字教育资源公共服务体系建设与应用的指导意见》《教育信息化2.0行动计划》等，对建设具有中国特色的数字化教育的发展目标、教育理念、教育教学模式、教育样态等都作出了明确安排。新时代以来，我国教育数字化工作取得积极成效。全国中小学（含教学点）全部接入互联网，教师信息技术应用能力明显提升，教育信息化应用模式不断创新，为迈向教育数字化新阶段奠定了坚实基础。特别是“慕课西部行计划”等教育数字化专项活动稳步推进，助力中西部地区教育高质量发展，推动实现教育公益普惠与优质均衡。中国教育科学研究院日前发布的全球数字教育发展指数显示，我国已跃升到世界第9位。过去3年，我国数字资源建设应用、数字素养培养、数字教育体系构建这三项指数分别上升70%、46%和24%。</w:t>
      </w:r>
    </w:p>
    <w:p w14:paraId="7AB5957E" w14:textId="6F4CB037" w:rsidR="008435BD" w:rsidRPr="008435BD" w:rsidRDefault="008435BD" w:rsidP="008435BD">
      <w:pPr>
        <w:spacing w:line="500" w:lineRule="exact"/>
        <w:ind w:firstLineChars="200" w:firstLine="480"/>
        <w:jc w:val="left"/>
        <w:rPr>
          <w:rFonts w:ascii="宋体" w:eastAsia="宋体" w:hAnsi="宋体" w:hint="eastAsia"/>
        </w:rPr>
      </w:pPr>
      <w:r w:rsidRPr="008435BD">
        <w:rPr>
          <w:rFonts w:ascii="宋体" w:eastAsia="宋体" w:hAnsi="宋体" w:hint="eastAsia"/>
        </w:rPr>
        <w:t>如何以数字化技术赋能各级各类教育高质量发展，发挥数字教育公平、包容、</w:t>
      </w:r>
      <w:r w:rsidRPr="008435BD">
        <w:rPr>
          <w:rFonts w:ascii="宋体" w:eastAsia="宋体" w:hAnsi="宋体" w:hint="eastAsia"/>
        </w:rPr>
        <w:lastRenderedPageBreak/>
        <w:t>开放、共享等优势，更好服务现代化建设、更好成就人的全面发展？笔者认为，以下几方面应予关注。</w:t>
      </w:r>
    </w:p>
    <w:p w14:paraId="233506E0" w14:textId="6C1133BA" w:rsidR="008435BD" w:rsidRPr="008435BD" w:rsidRDefault="008435BD" w:rsidP="008435BD">
      <w:pPr>
        <w:spacing w:line="500" w:lineRule="exact"/>
        <w:ind w:firstLineChars="200" w:firstLine="480"/>
        <w:jc w:val="left"/>
        <w:rPr>
          <w:rFonts w:ascii="宋体" w:eastAsia="宋体" w:hAnsi="宋体" w:hint="eastAsia"/>
        </w:rPr>
      </w:pPr>
      <w:r w:rsidRPr="008435BD">
        <w:rPr>
          <w:rFonts w:ascii="宋体" w:eastAsia="宋体" w:hAnsi="宋体" w:hint="eastAsia"/>
        </w:rPr>
        <w:t>以数字化打造数字教育新形态，积极推动数字教育公共服务体系建设。《“十四五”数字经济发展规划》强调，“加快推动文化教育、医疗健康、会展旅游、体育健身等领域公共服务资源数字化供给和网络化服务”“推进教育新型基础设施建设”“深入推进智慧教育示范区建设”。加快建设高质量数字教育体系，满足人民群众对优质数字教育资源的需要，是推进教育数字化转型的重要举措。依托人工智能、大数据等数字产业发展，建立由数字基础设施、数字学习资源、数字技术支持与在线学习服务等要素构成的数字教育公共服务体系，进一步夯实教育高质量发展的数字底座基石。推进教育治理体系变革，促进数字与教育深度融合，创造充满活力的数字教育新形态。</w:t>
      </w:r>
    </w:p>
    <w:p w14:paraId="44557BD8" w14:textId="6AFA4940" w:rsidR="008435BD" w:rsidRPr="008435BD" w:rsidRDefault="008435BD" w:rsidP="008435BD">
      <w:pPr>
        <w:spacing w:line="500" w:lineRule="exact"/>
        <w:ind w:firstLineChars="200" w:firstLine="480"/>
        <w:jc w:val="left"/>
        <w:rPr>
          <w:rFonts w:ascii="宋体" w:eastAsia="宋体" w:hAnsi="宋体" w:hint="eastAsia"/>
        </w:rPr>
      </w:pPr>
      <w:r w:rsidRPr="008435BD">
        <w:rPr>
          <w:rFonts w:ascii="宋体" w:eastAsia="宋体" w:hAnsi="宋体" w:hint="eastAsia"/>
        </w:rPr>
        <w:t>以数字化智慧教育促进教育普惠均衡发展。数字化是解决基础设施、教育资源、教师素养等教育不均衡问题的重要之举。通过教育数字化缩小数字鸿沟，指导教学改革，赋能教育治理，完善保障体系，更好助力教育普惠均衡发展。鼓励和引导政府、学校、企业、社会积极参与，共同构建陪伴每个人成长成才的数字教育新体系。此外，围绕数字教育发展的战略性、全局性重大问题，开展“数字画像”、大数据治理等建设，构建促进教育数字化转型的良性发展生态，驱动教育普惠均衡发展，实现教育公平和高质量发展。</w:t>
      </w:r>
    </w:p>
    <w:p w14:paraId="365E4EEB" w14:textId="690C0E8C" w:rsidR="008435BD" w:rsidRPr="008435BD" w:rsidRDefault="008435BD" w:rsidP="008435BD">
      <w:pPr>
        <w:spacing w:line="500" w:lineRule="exact"/>
        <w:ind w:firstLineChars="200" w:firstLine="480"/>
        <w:jc w:val="left"/>
        <w:rPr>
          <w:rFonts w:ascii="宋体" w:eastAsia="宋体" w:hAnsi="宋体" w:hint="eastAsia"/>
        </w:rPr>
      </w:pPr>
      <w:r w:rsidRPr="008435BD">
        <w:rPr>
          <w:rFonts w:ascii="宋体" w:eastAsia="宋体" w:hAnsi="宋体" w:hint="eastAsia"/>
        </w:rPr>
        <w:t>加强数字化教育建设过程中的数据安全管理，营造共建共享共治数字教育新生态。坚持开放、包容、共享原则，开展多层次、多主体的国际对话与合作，拓宽国际视野，提升全球教育数字化发展水平。对接数字教育国际标准，不断健全和完善标准化、规范化的数字安全治理体系，强化知识产权保护，着力打造安全、绿色的中国式现代化数字教育。加强国际数据安全与隐私保护治理，为教育数字化新生态构建提供应有保障。</w:t>
      </w:r>
      <w:r w:rsidRPr="008435BD">
        <w:rPr>
          <w:rFonts w:ascii="宋体" w:eastAsia="宋体" w:hAnsi="宋体" w:hint="eastAsia"/>
        </w:rPr>
        <w:t> </w:t>
      </w:r>
      <w:r w:rsidRPr="008435BD">
        <w:rPr>
          <w:rFonts w:ascii="宋体" w:eastAsia="宋体" w:hAnsi="宋体" w:hint="eastAsia"/>
        </w:rPr>
        <w:t>（作者：岳永杰，系中央民族大学教育学院教授、北京市习近平新时代中国特色社会主义思想研究中心特约研究员；王晴阳，系中央民族大学教</w:t>
      </w:r>
      <w:r w:rsidRPr="008435BD">
        <w:rPr>
          <w:rFonts w:ascii="宋体" w:eastAsia="宋体" w:hAnsi="宋体" w:hint="eastAsia"/>
        </w:rPr>
        <w:lastRenderedPageBreak/>
        <w:t>育学院研究生</w:t>
      </w:r>
      <w:r>
        <w:rPr>
          <w:rFonts w:ascii="宋体" w:eastAsia="宋体" w:hAnsi="宋体" w:hint="eastAsia"/>
        </w:rPr>
        <w:t xml:space="preserve">  </w:t>
      </w:r>
      <w:r w:rsidRPr="008435BD">
        <w:rPr>
          <w:rFonts w:ascii="宋体" w:eastAsia="宋体" w:hAnsi="宋体"/>
        </w:rPr>
        <w:t>来源: 《光明日报》2024年02月08日02版</w:t>
      </w:r>
      <w:r w:rsidRPr="008435BD">
        <w:rPr>
          <w:rFonts w:ascii="宋体" w:eastAsia="宋体" w:hAnsi="宋体" w:hint="eastAsia"/>
        </w:rPr>
        <w:t>）</w:t>
      </w:r>
    </w:p>
    <w:p w14:paraId="2DAF18EC" w14:textId="77777777" w:rsidR="003B4E4F" w:rsidRPr="003B4E4F" w:rsidRDefault="003B4E4F" w:rsidP="003B4E4F">
      <w:pPr>
        <w:spacing w:line="500" w:lineRule="exact"/>
        <w:ind w:firstLineChars="200" w:firstLine="482"/>
        <w:rPr>
          <w:rFonts w:ascii="宋体" w:eastAsia="宋体" w:hAnsi="宋体"/>
          <w:b/>
          <w:bCs/>
        </w:rPr>
      </w:pPr>
      <w:r w:rsidRPr="003B4E4F">
        <w:rPr>
          <w:rFonts w:ascii="宋体" w:eastAsia="宋体" w:hAnsi="宋体"/>
          <w:b/>
          <w:bCs/>
        </w:rPr>
        <w:t>以数字教材深化职教专业课程改革</w:t>
      </w:r>
    </w:p>
    <w:p w14:paraId="53745702"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习近平总书记指出，教育数字化是我国开辟教育发展新赛道和塑造教育发展新优势的重要突破口。教育数字化是赋能教育高质量发展、建设教育强国的重要途径。数字化对教育的赋能和加持是全方位、全过程、全链条的。就数字教材开发和建设而言，虽然还是新生事物，包括教材标准、样态、格式、要素、表现形式等都还在探讨之中，但它能有效解决困扰职业院校多年的专业课教材更新慢、成本高等问题，有利于更好彰显职业教育的类型特征。</w:t>
      </w:r>
    </w:p>
    <w:p w14:paraId="313AD5A6"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数字教材高度契合职业教育专业课需求</w:t>
      </w:r>
    </w:p>
    <w:p w14:paraId="392306B0"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教材是教师开展教学的重要载体，也是学生学习内容的主要来源，以其内容稳定、可靠、科学为典型特征。但对职业教育专业课而言，教材往往有滞后于生产实践和技术工艺的问题，因此，以数字教材深化职教专业课程改革很有必要。</w:t>
      </w:r>
    </w:p>
    <w:p w14:paraId="0FC46F6C"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职业教育专业课内容需要随产业技术变化及时动态更新。与其他教育类型知识成熟度高、稳定性强，课程内容和教材出版相对稳定不同，职业教育扎根于千行百业，以培养生产生活一线高技能人才为己任，面对日新月异的技术变化、装备改进和工艺更新，相关专业课教材要迅速更新，才能适应生产技术的快速变化。</w:t>
      </w:r>
    </w:p>
    <w:p w14:paraId="7DF341C5"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数字教材是职业教育教材改革的新阶段和新样态。多年来，教材一直是职业教育致力于改革的重要内容，而教材改革又致力于服务技术革新，跟上生产实践的步伐。但教材内容往往落后于生产实践，成为教学改革的难点。为更好解决这个矛盾，增强教材内容对新材料、新技术、新装备、新工艺的适应性，国家推出了活页式、工作手册式等新形态教材改革，意在加快教材的更新迭代步伐，跟上产业技术革新的节奏。数字教材的出现，进一步迎合了专业课内容快速更新的需求，可以在最大限度上、最短时间内、最低成本地实现教材更新和内容替换。如果说新形态教材是传统教材的改进，那么数字教材的诞生则是革命性的。</w:t>
      </w:r>
    </w:p>
    <w:p w14:paraId="782F23F7"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数字教材一定程度上还原了教材“教学材料”的本义。长期以来，人们更习惯</w:t>
      </w:r>
      <w:r w:rsidRPr="003B4E4F">
        <w:rPr>
          <w:rFonts w:ascii="宋体" w:eastAsia="宋体" w:hAnsi="宋体" w:hint="eastAsia"/>
        </w:rPr>
        <w:lastRenderedPageBreak/>
        <w:t>于将教材狭隘化地理解为课本。其实，课本只是教材的呈现形式之一，或者说是教材的主要载体。数字教材的出现，不再是单一的文字表现，而是囊括了如音频、动画、视频、课件、讲义等所有可以呈现知识、技能的多种媒介。只要有利于知识呈现、有利于技能传输、有利于教师教学、有利于学生学习的表现形式，都可以置于数字教材之中。如此，数字教材成为教师制作的诸多课程学习材料的总和，是真正意义上的更为完整的教学材料，是居于教师和学生之间的中介，三者共同构成了完整的教学活动。</w:t>
      </w:r>
    </w:p>
    <w:p w14:paraId="4383AF3E"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数字教材开发生产具有经济性，绿色环保。数字教材无须交付印刷厂印制出版，教师和学生即可在电脑、手机等终端设备上使用，大大节约了资源消耗。数字教材既降低了出版社的出版成本，也降低了学生的学习成本和费用支出，学生可以以同等价格购买到更多内容的复合化、立体化教学资料，是“物超所值”的教材。更为关键的是，数字教材也是符合国家碳达峰与碳中和“双碳”战略的应时之举，由于其动态更新便捷，大大降低了出版社后期修订和再版成本，基本上可以实现“教师实时更新、学生实时学习”，无缝衔接。</w:t>
      </w:r>
    </w:p>
    <w:p w14:paraId="2DE6C8BF"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数字教材正在模糊课程资源和教材之间的界限</w:t>
      </w:r>
    </w:p>
    <w:p w14:paraId="09B01E75"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课程和教材是教育学研究的重要内容。有的专家认为，教材属于课程资源的有机组成部分，是课程的下位概念；有的学者则主张将教材和课程视为平行的概念，两者同为教学服务，但又具有不同的属性。数字教材的出现，一定程度上可以消弭这种争论，因为它正在模糊数字课程资源和传统教材之间的界限，使得二者之间呈现出“你中有我、我中有你”的状态。</w:t>
      </w:r>
    </w:p>
    <w:p w14:paraId="448D2487"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数字教材是资源中心，是学习平台。数字教材绝不是简单地将纸质教材搬运到网络上供学习者线上浏览，不是纸质教材的简单网络化、数字化，它也不再单单是一本书。数字教材更本质的是建立在人工智能和大模型基础上的富媒体，是教材呈现形式的丰富多元。它除了可以正常像一本可以打开阅读的书，有文字呈现之外，还可以容纳音频、课件、图像、视频、动画乃至数字人等现代化多媒体资源和数字</w:t>
      </w:r>
      <w:r w:rsidRPr="003B4E4F">
        <w:rPr>
          <w:rFonts w:ascii="宋体" w:eastAsia="宋体" w:hAnsi="宋体" w:hint="eastAsia"/>
        </w:rPr>
        <w:lastRenderedPageBreak/>
        <w:t>技术。数字教材已成为课程教学多种资源的集合体，它模糊了数字课程资源和传统教材之间的界限。一门课程的资源可以通过一本具有丰富内容的数字教材来呈现；反过来，一本数字教材资源足以支撑起一门课的课程资源。</w:t>
      </w:r>
    </w:p>
    <w:p w14:paraId="75BF2775"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数字教材由于有丰富的语料库和大模型支撑，具有智能性。数字教材可以与不同主体间建立起互动关系，既可以为教师的教学画像，也可以为学生的学习和知识结构画像。教师和学生都可以通过使用数字教材，训练数字教材，从而使得教材平台更加符合自己的认知风格和行为习惯，提升教与学的效能。可见，数字教材是人工智能在教学上的应用，它是聪明的，是人性化的，是可以充分实现人机交互的。</w:t>
      </w:r>
    </w:p>
    <w:p w14:paraId="41599A3B"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数字教材对知识生产规律产生革命性影响</w:t>
      </w:r>
    </w:p>
    <w:p w14:paraId="257EA479"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按照SECI知识生产和转化理论，默会知识很难显性化，但数字教材技术手段的多元化，某种程度上正在突破这个规律。在知识由个体转向个体的社会化（socialization）、由个体转向团队的外在化（externalization）、由团队转向组织的组合化（combination），再由组织转回个体的内在化（internalization）四个过程中，知识生产一边外显化、公共化、社会化，一边又内隐化、个性化、私人化。在这个知识动态变化过程中，个体知识价值效应被不断放大，下一轮又在上一轮基础之上实现螺旋式上升，知识生产由此不断进步，这被认为是知识生产的一般规律。</w:t>
      </w:r>
    </w:p>
    <w:p w14:paraId="06788409" w14:textId="77777777"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在这个知识生产模型中，个体向个体的知识转化是起始环节，至关重要，也尤其困难。这个阶段的知识生产和转化以默会知识、经验知识为主，而这类知识恰恰又是职业教育侧重的知识类型。职业教育所传输的技能多是难以言传的默会知识、具身的经验性知识以及一些说不清的直观知觉和判断，它们只能以师带徒的形式，多依赖口耳相传、朝夕相处的高耗时、低效率方式逐渐提炼、编码、结晶，从而实现知识的传递和再生产。</w:t>
      </w:r>
    </w:p>
    <w:p w14:paraId="10AC1F37" w14:textId="4EAD84B0" w:rsidR="003B4E4F" w:rsidRPr="003B4E4F" w:rsidRDefault="003B4E4F" w:rsidP="003B4E4F">
      <w:pPr>
        <w:spacing w:line="500" w:lineRule="exact"/>
        <w:ind w:firstLineChars="200" w:firstLine="480"/>
        <w:jc w:val="left"/>
        <w:rPr>
          <w:rFonts w:ascii="宋体" w:eastAsia="宋体" w:hAnsi="宋体"/>
        </w:rPr>
      </w:pPr>
      <w:r w:rsidRPr="003B4E4F">
        <w:rPr>
          <w:rFonts w:ascii="宋体" w:eastAsia="宋体" w:hAnsi="宋体" w:hint="eastAsia"/>
        </w:rPr>
        <w:t>数字教材所采用的丰富的文本、音频、图像、视频、动画等多媒体、融媒体形式，通过人机交互，将难以言传的知识形象直观地表达出来，置于数字教材之中，</w:t>
      </w:r>
      <w:r w:rsidRPr="003B4E4F">
        <w:rPr>
          <w:rFonts w:ascii="宋体" w:eastAsia="宋体" w:hAnsi="宋体" w:hint="eastAsia"/>
        </w:rPr>
        <w:lastRenderedPageBreak/>
        <w:t>让学生可以直接捕捉到相关信息，获取教师语言描述相对苍白的知识点和技能点，从而简化了SECI知识转化和生产流程，提高了知识传输效率。从这个角度说，数字教材以其丰富的数字媒体技术实现了知识传输的革命，推动人类学习形式往前跨进一大步。（作者：聂伟</w:t>
      </w:r>
      <w:r>
        <w:rPr>
          <w:rFonts w:ascii="宋体" w:eastAsia="宋体" w:hAnsi="宋体" w:hint="eastAsia"/>
        </w:rPr>
        <w:t xml:space="preserve"> </w:t>
      </w:r>
      <w:r w:rsidRPr="003B4E4F">
        <w:rPr>
          <w:rFonts w:ascii="宋体" w:eastAsia="宋体" w:hAnsi="宋体" w:hint="eastAsia"/>
        </w:rPr>
        <w:t>系中国教育科学研究院职业教育与继续教育研究所副研究员、博士</w:t>
      </w:r>
      <w:r>
        <w:rPr>
          <w:rFonts w:ascii="宋体" w:eastAsia="宋体" w:hAnsi="宋体" w:hint="eastAsia"/>
        </w:rPr>
        <w:t xml:space="preserve">  </w:t>
      </w:r>
      <w:r w:rsidRPr="003B4E4F">
        <w:rPr>
          <w:rFonts w:ascii="宋体" w:eastAsia="宋体" w:hAnsi="宋体"/>
        </w:rPr>
        <w:t>来源: 《中国教育报》2024年2月20日03版</w:t>
      </w:r>
      <w:r w:rsidRPr="003B4E4F">
        <w:rPr>
          <w:rFonts w:ascii="宋体" w:eastAsia="宋体" w:hAnsi="宋体" w:hint="eastAsia"/>
        </w:rPr>
        <w:t>）</w:t>
      </w:r>
    </w:p>
    <w:p w14:paraId="6378FB96" w14:textId="77777777" w:rsidR="00B523AB" w:rsidRPr="00B523AB" w:rsidRDefault="00B523AB" w:rsidP="00B523AB">
      <w:pPr>
        <w:spacing w:line="500" w:lineRule="exact"/>
        <w:ind w:firstLineChars="200" w:firstLine="482"/>
        <w:rPr>
          <w:rFonts w:ascii="宋体" w:eastAsia="宋体" w:hAnsi="宋体"/>
          <w:b/>
          <w:bCs/>
        </w:rPr>
      </w:pPr>
      <w:r w:rsidRPr="00B523AB">
        <w:rPr>
          <w:rFonts w:ascii="宋体" w:eastAsia="宋体" w:hAnsi="宋体"/>
          <w:b/>
          <w:bCs/>
        </w:rPr>
        <w:t>与时代共舞 彰显职业教育贡献力</w:t>
      </w:r>
    </w:p>
    <w:p w14:paraId="7C72C28B" w14:textId="77777777" w:rsidR="00876881" w:rsidRPr="00876881" w:rsidRDefault="00876881" w:rsidP="00876881">
      <w:pPr>
        <w:spacing w:line="500" w:lineRule="exact"/>
        <w:ind w:firstLineChars="200" w:firstLine="480"/>
        <w:jc w:val="left"/>
        <w:rPr>
          <w:rFonts w:ascii="宋体" w:eastAsia="宋体" w:hAnsi="宋体"/>
        </w:rPr>
      </w:pPr>
      <w:r w:rsidRPr="00876881">
        <w:rPr>
          <w:rFonts w:ascii="宋体" w:eastAsia="宋体" w:hAnsi="宋体" w:hint="eastAsia"/>
        </w:rPr>
        <w:t>今年的政府工作报告提出要“深入实施科教兴国战略，坚持教育强国、科技强国、人才强国建设一体统筹推进，创新链产业链资金链人才链一体部署实施”“大力提高职业教育质量”。职业教育相关话题，成为今年全国两会期间最受关注的话题之一。</w:t>
      </w:r>
    </w:p>
    <w:p w14:paraId="599E43FB" w14:textId="77777777" w:rsidR="00876881" w:rsidRPr="00876881" w:rsidRDefault="00876881" w:rsidP="00876881">
      <w:pPr>
        <w:spacing w:line="500" w:lineRule="exact"/>
        <w:ind w:firstLineChars="200" w:firstLine="480"/>
        <w:jc w:val="left"/>
        <w:rPr>
          <w:rFonts w:ascii="宋体" w:eastAsia="宋体" w:hAnsi="宋体"/>
        </w:rPr>
      </w:pPr>
      <w:r w:rsidRPr="00876881">
        <w:rPr>
          <w:rFonts w:ascii="宋体" w:eastAsia="宋体" w:hAnsi="宋体" w:hint="eastAsia"/>
        </w:rPr>
        <w:t>服务人的全面发展、服务经济社会发展和服务国家重大战略，是新时代赋予职业教育的历史使命。推进职业教育高质量发展，必须紧扣时代经济发展脉搏，深化产教融合，实现与产业发展和城市建设的同频共振、互融共生；必须在科教兴国战略中找准坐标、厚植优势、彰显贡献，深化科教融汇，找准“科”与“教”的契合点，加快培养适应新质生产力要求的能工巧匠。</w:t>
      </w:r>
    </w:p>
    <w:p w14:paraId="27A2ED32" w14:textId="77777777" w:rsidR="00876881" w:rsidRPr="00876881" w:rsidRDefault="00876881" w:rsidP="00876881">
      <w:pPr>
        <w:spacing w:line="500" w:lineRule="exact"/>
        <w:ind w:firstLineChars="200" w:firstLine="480"/>
        <w:jc w:val="left"/>
        <w:rPr>
          <w:rFonts w:ascii="宋体" w:eastAsia="宋体" w:hAnsi="宋体"/>
        </w:rPr>
      </w:pPr>
      <w:r w:rsidRPr="00876881">
        <w:rPr>
          <w:rFonts w:ascii="宋体" w:eastAsia="宋体" w:hAnsi="宋体" w:hint="eastAsia"/>
        </w:rPr>
        <w:t>与“城”共兴，融合发展，做经济增长的强变量。近年来，职业教育产教融合在制度、理念、实践等方面取得了重大成果和显著成效。面对新时代经济发展的新形势和构建现代职教体系的新任务，产教融合需要持续提升层次、走向深入、创新形态。</w:t>
      </w:r>
    </w:p>
    <w:p w14:paraId="3072580E" w14:textId="77777777" w:rsidR="00876881" w:rsidRPr="00876881" w:rsidRDefault="00876881" w:rsidP="00876881">
      <w:pPr>
        <w:spacing w:line="500" w:lineRule="exact"/>
        <w:ind w:firstLineChars="200" w:firstLine="480"/>
        <w:jc w:val="left"/>
        <w:rPr>
          <w:rFonts w:ascii="宋体" w:eastAsia="宋体" w:hAnsi="宋体"/>
        </w:rPr>
      </w:pPr>
      <w:r w:rsidRPr="00876881">
        <w:rPr>
          <w:rFonts w:ascii="宋体" w:eastAsia="宋体" w:hAnsi="宋体" w:hint="eastAsia"/>
        </w:rPr>
        <w:t>产教城一体化是产教融合的高级形态，是中国特色产教融合体系的重要组成部分，能够在更广领域、更多层面上促进教育和产业的集聚联合，实现产教融合、产城融合、教城融合。推进职业教育发展与建设高质高效的现代产业体系、宜居宜业的新型城市结合起来，要强化规划同步，战略协同。将产教城一体化发展纳入地方经济社会发展规划以及城乡布局、产业布局和重大生产力布局规划，同步推进产教城一体化发展政策制定、要素支持和重大项目建设。要强化空间聚合，协同育人，</w:t>
      </w:r>
      <w:r w:rsidRPr="00876881">
        <w:rPr>
          <w:rFonts w:ascii="宋体" w:eastAsia="宋体" w:hAnsi="宋体" w:hint="eastAsia"/>
        </w:rPr>
        <w:lastRenderedPageBreak/>
        <w:t>将职业院校植入城市、专业办学融入园区、专业建设对接产业发展，打破围墙，引校入园，引企入校，形成学城联动、产教匹配、校企合作的办学格局。要强化平台共建，协商共治，建设市域产教联合体、全国性行业产教融合共同体，促进多元联动、资源共享、信息互通。同时，要充分发挥政府统筹作用，完善政校企行共同参与、协商共治的机制，引导更多优质资源投入职业教育。</w:t>
      </w:r>
    </w:p>
    <w:p w14:paraId="2DA8D01A" w14:textId="77777777" w:rsidR="00876881" w:rsidRPr="00876881" w:rsidRDefault="00876881" w:rsidP="00876881">
      <w:pPr>
        <w:spacing w:line="500" w:lineRule="exact"/>
        <w:ind w:firstLineChars="200" w:firstLine="480"/>
        <w:jc w:val="left"/>
        <w:rPr>
          <w:rFonts w:ascii="宋体" w:eastAsia="宋体" w:hAnsi="宋体"/>
        </w:rPr>
      </w:pPr>
      <w:r w:rsidRPr="00876881">
        <w:rPr>
          <w:rFonts w:ascii="宋体" w:eastAsia="宋体" w:hAnsi="宋体" w:hint="eastAsia"/>
        </w:rPr>
        <w:t>与“产”共舞，科教融汇，做创新发展的智动力。随着新一轮科技革命和产业变革的深入演进，新理念、新技术、新模式、新业态层出不穷，对职业院校的教学与科研融合等问题，提出了更高的要求和更大的挑战。职业教育身处生产第一线，既要为破解“卡脖子”问题培养更多高素质技术技能人才，又要在促进创新链和产业链精准对接中成为科技成果转化的“中试车间”，在服务国家创新驱动发展战略中贡献职教力量。</w:t>
      </w:r>
    </w:p>
    <w:p w14:paraId="40444612" w14:textId="77777777" w:rsidR="00876881" w:rsidRPr="00876881" w:rsidRDefault="00876881" w:rsidP="00876881">
      <w:pPr>
        <w:spacing w:line="500" w:lineRule="exact"/>
        <w:ind w:firstLineChars="200" w:firstLine="480"/>
        <w:jc w:val="left"/>
        <w:rPr>
          <w:rFonts w:ascii="宋体" w:eastAsia="宋体" w:hAnsi="宋体"/>
        </w:rPr>
      </w:pPr>
      <w:r w:rsidRPr="00876881">
        <w:rPr>
          <w:rFonts w:ascii="宋体" w:eastAsia="宋体" w:hAnsi="宋体" w:hint="eastAsia"/>
        </w:rPr>
        <w:t>科教融汇是国家创新体系建设的重要内容，是职业教育类型特色的改革方向，是技术技能人才培养的时代要求。职业院校必须找准“科”与“教”的契合点，调整科研定位、深化研教融合。推动人才培养由“实用型”向“创新型”叠加，培养目标上移“中试”，育人模式连接“职场”，教学组织联通“实境”。推动科研定位由“闭门式”向“立地式”调整。对接国家战略部署，对接地方支柱产业发展需要，对接当地企业技术研发和产品升级要求，把论文写在田间车间，把课题立在行业企业，把成果用在生产一线和教书育人上。推动科教关系由“浅层次结合”向“全方位融合”转变，将科研项目转化为课程资源，融入教学，让新技术、新工艺、新产品、新标准进入课堂。</w:t>
      </w:r>
    </w:p>
    <w:p w14:paraId="1640E51A" w14:textId="77777777" w:rsidR="00876881" w:rsidRPr="00876881" w:rsidRDefault="00876881" w:rsidP="00876881">
      <w:pPr>
        <w:spacing w:line="500" w:lineRule="exact"/>
        <w:ind w:firstLineChars="200" w:firstLine="480"/>
        <w:jc w:val="left"/>
        <w:rPr>
          <w:rFonts w:ascii="宋体" w:eastAsia="宋体" w:hAnsi="宋体"/>
        </w:rPr>
      </w:pPr>
      <w:r w:rsidRPr="00876881">
        <w:rPr>
          <w:rFonts w:ascii="宋体" w:eastAsia="宋体" w:hAnsi="宋体" w:hint="eastAsia"/>
        </w:rPr>
        <w:t>与“数”共进，产教同频，做数字工匠培育的新高地。当前，数字经济与实体经济的深度融合正在突破时空约束，开辟数智融合的新赛道，成为高质量发展的新动能。而以高质量发展为底色的中国式现代化，需要大批自信、自立、自强的数字工匠作为人才支撑。</w:t>
      </w:r>
    </w:p>
    <w:p w14:paraId="24F44716" w14:textId="4DC19553" w:rsidR="00876881" w:rsidRPr="00876881" w:rsidRDefault="00876881" w:rsidP="00876881">
      <w:pPr>
        <w:spacing w:line="500" w:lineRule="exact"/>
        <w:ind w:firstLineChars="200" w:firstLine="480"/>
        <w:jc w:val="left"/>
        <w:rPr>
          <w:rFonts w:ascii="宋体" w:eastAsia="宋体" w:hAnsi="宋体"/>
        </w:rPr>
      </w:pPr>
      <w:r w:rsidRPr="00876881">
        <w:rPr>
          <w:rFonts w:ascii="宋体" w:eastAsia="宋体" w:hAnsi="宋体" w:hint="eastAsia"/>
        </w:rPr>
        <w:t>职业教育要主动适应数字经济发展需求，大力培养新时代数字工匠。要塑造数</w:t>
      </w:r>
      <w:r w:rsidRPr="00876881">
        <w:rPr>
          <w:rFonts w:ascii="宋体" w:eastAsia="宋体" w:hAnsi="宋体" w:hint="eastAsia"/>
        </w:rPr>
        <w:lastRenderedPageBreak/>
        <w:t>字工匠的文化之魂。提取中华优秀传统文化、革命文化、社会主义先进文化的精华，将其与新时代工匠精神融合在一起，打造具有中国特色、时代精神、数字化特征的校园文化。教育引导学生厚植家国情怀、涵养进取品格、夯实数智基础、强化使命担当。要夯实数字工匠的成长之基。推动学校“小课堂”和社会“大课堂”有效衔接，引导学生走出校门、接触社会、知行合一，在实践中了解国情民情、拥抱数智时代，增长知识才干。要锻造数字工匠的思维之核。搭建数字化平台，打造一流软硬件基础设施，建设“人人、时时、处处”能学的智慧化校园；制定完善学生信息素养标准，开发信息素养课程和教材，强化信息素养和技能培训，强化人机结合、数据赋能等数字化思维的养成。要强健数字工匠的技能之翼。开设人工智能、大数据等新课程，借助大数据、云计算、元宇宙等技术手段，创新线上线下相结合的混合式教学改革，建设职业教育专业教学资源库、精品在线开放课程、虚拟仿真实训基地和具有真实生产功能的实训教室，支撑数字化教学改革。（作者：肖梅，系日照职业技术学院党委书记</w:t>
      </w:r>
      <w:r>
        <w:rPr>
          <w:rFonts w:ascii="宋体" w:eastAsia="宋体" w:hAnsi="宋体" w:hint="eastAsia"/>
        </w:rPr>
        <w:t xml:space="preserve">  </w:t>
      </w:r>
      <w:r w:rsidRPr="00876881">
        <w:rPr>
          <w:rFonts w:ascii="宋体" w:eastAsia="宋体" w:hAnsi="宋体"/>
        </w:rPr>
        <w:t>来源: 《中国教育报》2024年3月11日02版</w:t>
      </w:r>
      <w:r w:rsidRPr="00876881">
        <w:rPr>
          <w:rFonts w:ascii="宋体" w:eastAsia="宋体" w:hAnsi="宋体" w:hint="eastAsia"/>
        </w:rPr>
        <w:t>）</w:t>
      </w:r>
    </w:p>
    <w:p w14:paraId="24A789E4" w14:textId="77777777" w:rsidR="0015211A" w:rsidRPr="0015211A" w:rsidRDefault="0015211A" w:rsidP="0015211A">
      <w:pPr>
        <w:spacing w:line="500" w:lineRule="exact"/>
        <w:ind w:firstLineChars="200" w:firstLine="482"/>
        <w:rPr>
          <w:rFonts w:ascii="宋体" w:eastAsia="宋体" w:hAnsi="宋体"/>
          <w:b/>
          <w:bCs/>
        </w:rPr>
      </w:pPr>
      <w:r w:rsidRPr="0015211A">
        <w:rPr>
          <w:rFonts w:ascii="宋体" w:eastAsia="宋体" w:hAnsi="宋体"/>
          <w:b/>
          <w:bCs/>
        </w:rPr>
        <w:t>高职院校是培养乡村本土人才主力军</w:t>
      </w:r>
    </w:p>
    <w:p w14:paraId="787D4278" w14:textId="77777777" w:rsidR="0015211A" w:rsidRPr="0015211A" w:rsidRDefault="0015211A" w:rsidP="0015211A">
      <w:pPr>
        <w:spacing w:line="500" w:lineRule="exact"/>
        <w:ind w:firstLineChars="200" w:firstLine="480"/>
        <w:jc w:val="left"/>
        <w:rPr>
          <w:rFonts w:ascii="宋体" w:eastAsia="宋体" w:hAnsi="宋体"/>
        </w:rPr>
      </w:pPr>
      <w:r w:rsidRPr="0015211A">
        <w:rPr>
          <w:rFonts w:ascii="宋体" w:eastAsia="宋体" w:hAnsi="宋体" w:hint="eastAsia"/>
        </w:rPr>
        <w:t>人才振兴是乡村振兴的关键。2024年中央一号文件明确提出，实施乡村振兴人才支持计划，加大乡村本土人才培养，有序引导城市各类专业技术人才下乡服务，全面提高农民综合素质。乡村本土人才是乡村振兴工作的主体和原生性动力，具有良好的群众基础与深厚的反哺情怀，熟悉家乡的环境、历史、风俗、文化，了解家乡的现实基础与发展需求，更能探索出适合家乡发展的道路和模式。加强乡村本土人才队伍建设对实施乡村振兴战略、实现乡村高质量发展有着重要意义。</w:t>
      </w:r>
    </w:p>
    <w:p w14:paraId="786BEAEE" w14:textId="77777777" w:rsidR="0015211A" w:rsidRPr="0015211A" w:rsidRDefault="0015211A" w:rsidP="0015211A">
      <w:pPr>
        <w:spacing w:line="500" w:lineRule="exact"/>
        <w:ind w:firstLineChars="200" w:firstLine="480"/>
        <w:jc w:val="left"/>
        <w:rPr>
          <w:rFonts w:ascii="宋体" w:eastAsia="宋体" w:hAnsi="宋体" w:hint="eastAsia"/>
        </w:rPr>
      </w:pPr>
      <w:r w:rsidRPr="0015211A">
        <w:rPr>
          <w:rFonts w:ascii="宋体" w:eastAsia="宋体" w:hAnsi="宋体" w:hint="eastAsia"/>
        </w:rPr>
        <w:t>高职院校以服务区域发展为宗旨，扎根地方、依靠地方、融入地方，其价值定位、办学方向、培养目标、专业设置、学生来源、就业面向等具有鲜明的地方特征，具备涉农人才培养、农民教育培训、农业技术服务、农村文化传承等方面的天然条件，在乡村本土人才培养方面有着突出优势。</w:t>
      </w:r>
    </w:p>
    <w:p w14:paraId="5F20A312" w14:textId="77777777" w:rsidR="0015211A" w:rsidRPr="0015211A" w:rsidRDefault="0015211A" w:rsidP="0015211A">
      <w:pPr>
        <w:spacing w:line="500" w:lineRule="exact"/>
        <w:ind w:firstLineChars="200" w:firstLine="480"/>
        <w:jc w:val="left"/>
        <w:rPr>
          <w:rFonts w:ascii="宋体" w:eastAsia="宋体" w:hAnsi="宋体" w:hint="eastAsia"/>
        </w:rPr>
      </w:pPr>
      <w:r w:rsidRPr="0015211A">
        <w:rPr>
          <w:rFonts w:ascii="宋体" w:eastAsia="宋体" w:hAnsi="宋体" w:hint="eastAsia"/>
        </w:rPr>
        <w:t>多年来，随着城镇化进程不断推进，乡村劳动力大规模外出就业，回流家乡的</w:t>
      </w:r>
      <w:r w:rsidRPr="0015211A">
        <w:rPr>
          <w:rFonts w:ascii="宋体" w:eastAsia="宋体" w:hAnsi="宋体" w:hint="eastAsia"/>
        </w:rPr>
        <w:lastRenderedPageBreak/>
        <w:t>意愿较低，导致乡村本土人才流失严重，后备力量不足。而留守家乡的本土人才年龄普遍偏高，大多集中在第一产业的种植养殖业，掌握现代农业技术的高素质农民及从事第二、三产业的经营管理人才数量偏少，具有较高乡村治理能力的基层组织管理人才更加稀缺。为此，高职院校要充分发挥乡村本土人才培养的主力军作用，切实适应乡村本土人才的多样性、实用性、成长性需求，提高乡村本土人才队伍建设效能。</w:t>
      </w:r>
    </w:p>
    <w:p w14:paraId="021CD810" w14:textId="77777777" w:rsidR="0015211A" w:rsidRPr="0015211A" w:rsidRDefault="0015211A" w:rsidP="0015211A">
      <w:pPr>
        <w:spacing w:line="500" w:lineRule="exact"/>
        <w:ind w:firstLineChars="200" w:firstLine="480"/>
        <w:jc w:val="left"/>
        <w:rPr>
          <w:rFonts w:ascii="宋体" w:eastAsia="宋体" w:hAnsi="宋体" w:hint="eastAsia"/>
        </w:rPr>
      </w:pPr>
      <w:r w:rsidRPr="0015211A">
        <w:rPr>
          <w:rFonts w:ascii="宋体" w:eastAsia="宋体" w:hAnsi="宋体" w:hint="eastAsia"/>
        </w:rPr>
        <w:t>适应乡村本土人才多样性的需求，着力解决“招得来”问题。高职院校应加强对所在区域的乡村振兴人才需求研究，评估乡村人才供求总量和结构，研判乡村人才供求缺口，研制形成本土化的乡村人才职业分类体系、职业能力标准和职业技能谱系，制定符合地方实际的乡村本土人才培育规划。适应现代农业发展趋势，重新规划乡村本土人才培育的专业框架，通过开办新兴涉农专业和传统涉农专业数字化改造，组建乡村经济与产业发展、乡村治理与社会服务等专业集群，促进专业群与农业产业链深度融合，与农村工作无缝对接。推行“半农半读、农学交替”在乡农民学历教育模式，扩大本地农民学历教育招生规模，吸纳更多具有乡村情怀、立志扎根农村的本地户籍往届高中毕业生、退役军人、下岗职工、高素质农民、留守妇女等报考，促进乡村本土人才转型升级。推动“公费职业农民”培养制度的落实，与地方政府（市、县、镇）及涉农企业联合招生，实施“农村基层人才定向培养项目”，通过定向招生、定向培养、定向就业的模式，吸引本地户籍应届高中毕业生报考，培养当前紧缺的农业产业经营管理人才和乡村基层组织管理人才。</w:t>
      </w:r>
    </w:p>
    <w:p w14:paraId="27998E38" w14:textId="77777777" w:rsidR="0015211A" w:rsidRPr="0015211A" w:rsidRDefault="0015211A" w:rsidP="0015211A">
      <w:pPr>
        <w:spacing w:line="500" w:lineRule="exact"/>
        <w:ind w:firstLineChars="200" w:firstLine="480"/>
        <w:jc w:val="left"/>
        <w:rPr>
          <w:rFonts w:ascii="宋体" w:eastAsia="宋体" w:hAnsi="宋体" w:hint="eastAsia"/>
        </w:rPr>
      </w:pPr>
      <w:r w:rsidRPr="0015211A">
        <w:rPr>
          <w:rFonts w:ascii="宋体" w:eastAsia="宋体" w:hAnsi="宋体" w:hint="eastAsia"/>
        </w:rPr>
        <w:t>充分整合学校现有资源优势，着力解决“育得好”问题。高职院校应进一步深化校地、校企合作，探索建立政、校、村、企、院“五位一体”协同育人机制，共建乡村本土人才培养实践共同体。针对不同层次、不同类型的培养对象，量身定制人才培养方案，实施分类培养、精准培养。如针对统招生源的定向培养、委托培养，采用“政校协同，工学结合”人才培养模式。针对社招生源的学历教育，施行“淡学旺工、学做交替，弹性学制、分段实施”教学模式。针对在乡农民的职业教育，</w:t>
      </w:r>
      <w:r w:rsidRPr="0015211A">
        <w:rPr>
          <w:rFonts w:ascii="宋体" w:eastAsia="宋体" w:hAnsi="宋体" w:hint="eastAsia"/>
        </w:rPr>
        <w:lastRenderedPageBreak/>
        <w:t>探索“短期技能培训→长期社区培训→非全日制学历教育”转化机制，推进职业培训与成人学历教育深度融合。构建“底层共享、中层融通、顶层互选”专业群课程体系，建设专业教学资源库，将现代农业技术、农村实际案例、农业生产实践经验等开发为课程资源、培训包、工作手册式教材。聘请地方涉农企业技术人员、乡村“土专家”“田秀才”充实师资队伍，组建熟悉农业农村工作的结构化教师团队，开展模块化课程教学。联合地方农业龙头企业、乡村种养大户、农村基层治理示范点等，建设校外教学培训点或实习实训基地，打造“行走课堂”“乡村课堂”。</w:t>
      </w:r>
    </w:p>
    <w:p w14:paraId="7C9A6375" w14:textId="11E001FD" w:rsidR="0015211A" w:rsidRPr="0015211A" w:rsidRDefault="0015211A" w:rsidP="0015211A">
      <w:pPr>
        <w:spacing w:line="500" w:lineRule="exact"/>
        <w:ind w:firstLineChars="200" w:firstLine="480"/>
        <w:jc w:val="left"/>
        <w:rPr>
          <w:rFonts w:ascii="宋体" w:eastAsia="宋体" w:hAnsi="宋体" w:hint="eastAsia"/>
        </w:rPr>
      </w:pPr>
      <w:r w:rsidRPr="0015211A">
        <w:rPr>
          <w:rFonts w:ascii="宋体" w:eastAsia="宋体" w:hAnsi="宋体" w:hint="eastAsia"/>
        </w:rPr>
        <w:t>重视乡村本土人才成长需求，着力解决“留得住”问题。高职院校需将乡村振兴战略融入思政教育，将耕读教育贯穿于乡村本土人才培养各环节，开展“乡土名匠”“乡土名师”宣传与推介活动，讲好农耕农科故事，厚植反哺家乡的情怀，提振从事农业的信心，激发投身兴农的热情。建立定期回访制度和培训回炉机制，支持乡村本土人才经常回校“充电”。充分考虑乡村职业分类的差异性、农业生产的地域性等多种因素，基于人工智能、VR、AR等新技术，开发微视频、MOOC等不同类型的农业职业教育数字资源，发挥手机“新农具”优势，力争实现资源内容体系化、资源主题多样化、资源类型多元化、技术支持先进化，为乡村本土人才终身学习提供支持与保障。发挥高职院校人力与智力优势，组建专业指导与咨询团队，为乡村本土人才提供政策咨询、技术指导、创业孵化、项目申报等服务。牵头搭建区域产教联合体、行业产教融合共同体等平台，汇聚本地校友资源组建乡村产业联盟，共同谋划地方农业产业协同发展，推动区域内农业产业优质生态建设，拓展乡村本土人才成长与发展空间，吸引更多本土人才留乡干事创业。（作者：高焕清，系咸宁职业技术学院党委书记</w:t>
      </w:r>
      <w:r>
        <w:rPr>
          <w:rFonts w:ascii="宋体" w:eastAsia="宋体" w:hAnsi="宋体" w:hint="eastAsia"/>
        </w:rPr>
        <w:t xml:space="preserve">  </w:t>
      </w:r>
      <w:r w:rsidRPr="0015211A">
        <w:rPr>
          <w:rFonts w:ascii="宋体" w:eastAsia="宋体" w:hAnsi="宋体"/>
        </w:rPr>
        <w:t>来源: 《光明日报》2024年03月12日14版</w:t>
      </w:r>
      <w:r w:rsidRPr="0015211A">
        <w:rPr>
          <w:rFonts w:ascii="宋体" w:eastAsia="宋体" w:hAnsi="宋体" w:hint="eastAsia"/>
        </w:rPr>
        <w:t>）</w:t>
      </w:r>
    </w:p>
    <w:p w14:paraId="37713948" w14:textId="77777777" w:rsidR="00E23EF0" w:rsidRPr="00E23EF0" w:rsidRDefault="00E23EF0" w:rsidP="00E23EF0">
      <w:pPr>
        <w:spacing w:line="500" w:lineRule="exact"/>
        <w:ind w:firstLineChars="200" w:firstLine="482"/>
        <w:rPr>
          <w:rFonts w:ascii="宋体" w:eastAsia="宋体" w:hAnsi="宋体"/>
          <w:b/>
          <w:bCs/>
        </w:rPr>
      </w:pPr>
      <w:r w:rsidRPr="00E23EF0">
        <w:rPr>
          <w:rFonts w:ascii="宋体" w:eastAsia="宋体" w:hAnsi="宋体"/>
          <w:b/>
          <w:bCs/>
        </w:rPr>
        <w:t>抓立地式科技创新 促新质生产力发展</w:t>
      </w:r>
    </w:p>
    <w:p w14:paraId="6FF13C1A" w14:textId="77777777" w:rsidR="00E23EF0" w:rsidRPr="00E23EF0" w:rsidRDefault="00E23EF0" w:rsidP="00E23EF0">
      <w:pPr>
        <w:spacing w:line="500" w:lineRule="exact"/>
        <w:ind w:firstLineChars="200" w:firstLine="480"/>
        <w:jc w:val="left"/>
        <w:rPr>
          <w:rFonts w:ascii="宋体" w:eastAsia="宋体" w:hAnsi="宋体"/>
        </w:rPr>
      </w:pPr>
      <w:r w:rsidRPr="00E23EF0">
        <w:rPr>
          <w:rFonts w:ascii="宋体" w:eastAsia="宋体" w:hAnsi="宋体" w:hint="eastAsia"/>
        </w:rPr>
        <w:t>高职院校要坚持产教融合、科教融汇，提高科技创新能力、加快成果转移转化、培养高素质劳动者，积极主动服务地方产业转型升级，推进教育链、人才链与创新链、产业链“四链”深度融合，把人才红利注入高质量发展进程，以“新”提“质”、</w:t>
      </w:r>
      <w:r w:rsidRPr="00E23EF0">
        <w:rPr>
          <w:rFonts w:ascii="宋体" w:eastAsia="宋体" w:hAnsi="宋体" w:hint="eastAsia"/>
        </w:rPr>
        <w:lastRenderedPageBreak/>
        <w:t>以“质”催“新”，塑造更多发展新动能新优势，为发展新质生产力作出应有贡献。</w:t>
      </w:r>
    </w:p>
    <w:p w14:paraId="149BAECE" w14:textId="77777777" w:rsidR="00E23EF0" w:rsidRPr="00E23EF0" w:rsidRDefault="00E23EF0" w:rsidP="00E23EF0">
      <w:pPr>
        <w:spacing w:line="500" w:lineRule="exact"/>
        <w:ind w:firstLineChars="200" w:firstLine="480"/>
        <w:jc w:val="left"/>
        <w:rPr>
          <w:rFonts w:ascii="宋体" w:eastAsia="宋体" w:hAnsi="宋体"/>
        </w:rPr>
      </w:pPr>
      <w:r w:rsidRPr="00E23EF0">
        <w:rPr>
          <w:rFonts w:ascii="宋体" w:eastAsia="宋体" w:hAnsi="宋体" w:hint="eastAsia"/>
        </w:rPr>
        <w:t>高职院校科技创新与新质生产力发展的内在逻辑</w:t>
      </w:r>
    </w:p>
    <w:p w14:paraId="338DC3F8" w14:textId="77777777" w:rsidR="00E23EF0" w:rsidRPr="00E23EF0" w:rsidRDefault="00E23EF0" w:rsidP="00E23EF0">
      <w:pPr>
        <w:spacing w:line="500" w:lineRule="exact"/>
        <w:ind w:firstLineChars="200" w:firstLine="480"/>
        <w:jc w:val="left"/>
        <w:rPr>
          <w:rFonts w:ascii="宋体" w:eastAsia="宋体" w:hAnsi="宋体"/>
        </w:rPr>
      </w:pPr>
      <w:r w:rsidRPr="00E23EF0">
        <w:rPr>
          <w:rFonts w:ascii="宋体" w:eastAsia="宋体" w:hAnsi="宋体" w:hint="eastAsia"/>
        </w:rPr>
        <w:t>服务产业转型升级，促进新质生产力发展。新质生产力是马克思主义生产力理论的创新和发展，其概念是由技术革命性突破、生产要素创新性配置、产业深度转型升级而催生的当代先进生产力。发展新质生产力的核心要素是科技创新。20多年来，职业教育从量的扩张转变到质的提升，国家对职业院校在科技创新方面的要求一以贯之。《中华人民共和国职业教育法》明确鼓励职业学校联合相关行业组织、企事业单位创建技术技能创新平台，开展科学研究和技术服务。高等职业教育属于高等教育范畴，科学研究和社会服务是职责所在。高职院校通过深度产教融合、科教融汇，对接行业产业发展，服务产业转型升级，促进产业链发展，推动新质生产力发展。</w:t>
      </w:r>
    </w:p>
    <w:p w14:paraId="60A3BE3C" w14:textId="77777777" w:rsidR="00E23EF0" w:rsidRPr="00E23EF0" w:rsidRDefault="00E23EF0" w:rsidP="00E23EF0">
      <w:pPr>
        <w:spacing w:line="500" w:lineRule="exact"/>
        <w:ind w:firstLineChars="200" w:firstLine="480"/>
        <w:jc w:val="left"/>
        <w:rPr>
          <w:rFonts w:ascii="宋体" w:eastAsia="宋体" w:hAnsi="宋体"/>
        </w:rPr>
      </w:pPr>
      <w:r w:rsidRPr="00E23EF0">
        <w:rPr>
          <w:rFonts w:ascii="宋体" w:eastAsia="宋体" w:hAnsi="宋体" w:hint="eastAsia"/>
        </w:rPr>
        <w:t>加速科技成果转化，促进新质生产力发展。新质生产力发展需要及时将科技创新成果应用到具体产业和产业链上，改造提升传统产业，培育壮大新兴产业，布局建设未来产业，完善现代化产业体系。职业教育是对接产业最紧密、服务经济最直接的教育类型。《中华人民共和国职业教育法》明确鼓励职业学校搭建专业化技术转移机构，开展科技成果转化。在深度产教融合、校企合作过程中，高职院校教师队伍深入企业一线，与企业技术人员交流频繁，对技术现状、生产工艺革新等企业需求了如指掌，对科技成果转化为实际生产力具有得天独厚的优势，同时具备推动新技术、新工艺、新产品的研发和推广能力，从而提升产业的技术水平和竞争力。</w:t>
      </w:r>
    </w:p>
    <w:p w14:paraId="04C5E608" w14:textId="77777777" w:rsidR="00E23EF0" w:rsidRPr="00E23EF0" w:rsidRDefault="00E23EF0" w:rsidP="00E23EF0">
      <w:pPr>
        <w:spacing w:line="500" w:lineRule="exact"/>
        <w:ind w:firstLineChars="200" w:firstLine="480"/>
        <w:jc w:val="left"/>
        <w:rPr>
          <w:rFonts w:ascii="宋体" w:eastAsia="宋体" w:hAnsi="宋体"/>
        </w:rPr>
      </w:pPr>
      <w:r w:rsidRPr="00E23EF0">
        <w:rPr>
          <w:rFonts w:ascii="宋体" w:eastAsia="宋体" w:hAnsi="宋体" w:hint="eastAsia"/>
        </w:rPr>
        <w:t>培养高素质劳动者，促进新质生产力发展。新质生产力发展需要加强人才培养和引进，提高劳动者的素质和技能水平，培养一批高素质、高水平的创新型人才。《关于推动现代职业教育高质量发展的意见》明确提出，要切实增强职业教育适应性，加快构建现代职业教育体系，建设技能型社会，弘扬工匠精神，培养更多高素质技术技能人才、能工巧匠、大国工匠，为全面建设社会主义现代化国家提供有力人才和技能支撑。高职院校以培养高素质技术技能人才为使命，每年为社会培养输</w:t>
      </w:r>
      <w:r w:rsidRPr="00E23EF0">
        <w:rPr>
          <w:rFonts w:ascii="宋体" w:eastAsia="宋体" w:hAnsi="宋体" w:hint="eastAsia"/>
        </w:rPr>
        <w:lastRenderedPageBreak/>
        <w:t>送数百万的高素质劳动者，为经济社会发展和产业转型升级提供了不可替代的人才支撑。</w:t>
      </w:r>
    </w:p>
    <w:p w14:paraId="37167967" w14:textId="77777777" w:rsidR="00E23EF0" w:rsidRPr="00E23EF0" w:rsidRDefault="00E23EF0" w:rsidP="00E23EF0">
      <w:pPr>
        <w:spacing w:line="500" w:lineRule="exact"/>
        <w:ind w:firstLineChars="200" w:firstLine="480"/>
        <w:jc w:val="left"/>
        <w:rPr>
          <w:rFonts w:ascii="宋体" w:eastAsia="宋体" w:hAnsi="宋体"/>
        </w:rPr>
      </w:pPr>
      <w:r w:rsidRPr="00E23EF0">
        <w:rPr>
          <w:rFonts w:ascii="宋体" w:eastAsia="宋体" w:hAnsi="宋体" w:hint="eastAsia"/>
        </w:rPr>
        <w:t>高职院校科技创新推动新质生产力发展的实施路径</w:t>
      </w:r>
    </w:p>
    <w:p w14:paraId="743C3C9B" w14:textId="77777777" w:rsidR="00E23EF0" w:rsidRPr="00E23EF0" w:rsidRDefault="00E23EF0" w:rsidP="00E23EF0">
      <w:pPr>
        <w:spacing w:line="500" w:lineRule="exact"/>
        <w:ind w:firstLineChars="200" w:firstLine="480"/>
        <w:jc w:val="left"/>
        <w:rPr>
          <w:rFonts w:ascii="宋体" w:eastAsia="宋体" w:hAnsi="宋体"/>
        </w:rPr>
      </w:pPr>
      <w:r w:rsidRPr="00E23EF0">
        <w:rPr>
          <w:rFonts w:ascii="宋体" w:eastAsia="宋体" w:hAnsi="宋体" w:hint="eastAsia"/>
        </w:rPr>
        <w:t>服务产业转型升级，推动产业链发展。一是落实《关于深化现代职业教育体系建设改革的意见》精神，以应用研究为主攻方向，以服务行业企业技术改造、工艺改进、产品升级为重点，服务产业转型升级。二是创新体制机制，努力构建质量导向、实效导向的科研评价体系，突出为行业企业解决实际问题、产生实际效益在职称评聘、岗位聘任中的高赋分，破除唯论文导向，激发教师创新活力。三是立足专业群优势，充分发挥“双师型”教师队伍优势，面向战略性新兴产业，组建学科交叉融合、信息共通共享的科技创新团队，培育技术核心竞争力，联合开展技术攻关，服务产业转型升级。四是按照“政行企校”共建、共管、共享原则，联合地方政府科技主管部门共同搭建地方产业技术中心，选派“科技特派员”深入产业集群对接技术需求，打通科技开发、技术创新、成果转移链条，为行业企业提供技术咨询与服务，促进中小企业技术创新、产品升级。</w:t>
      </w:r>
    </w:p>
    <w:p w14:paraId="45EDFE7E" w14:textId="77777777" w:rsidR="00E23EF0" w:rsidRPr="00E23EF0" w:rsidRDefault="00E23EF0" w:rsidP="00E23EF0">
      <w:pPr>
        <w:spacing w:line="500" w:lineRule="exact"/>
        <w:ind w:firstLineChars="200" w:firstLine="480"/>
        <w:jc w:val="left"/>
        <w:rPr>
          <w:rFonts w:ascii="宋体" w:eastAsia="宋体" w:hAnsi="宋体"/>
        </w:rPr>
      </w:pPr>
      <w:r w:rsidRPr="00E23EF0">
        <w:rPr>
          <w:rFonts w:ascii="宋体" w:eastAsia="宋体" w:hAnsi="宋体" w:hint="eastAsia"/>
        </w:rPr>
        <w:t>加速科技成果转化，推动创新链发展。一是优化资源配置，完善科技成果转化收益分配办法，保障参与科技成果转化各方权益，提高科技成果转化的成果赋分，加大激励力度。二是设置成果转化职业经理人岗位，打造一支专门化的服务队伍，面向区域重点产业和集群，开展知识产权研究，提供专业数据分析与服务，拓宽科技成果转化渠道。三是探索科研成果转化为产品的内在规律，统筹高职院校实训基地与技术技能创新服务平台场地和仪器设备等资源，发挥“双师型”教师特长，打造中试基地，对科研成果进行中间试验，不断研制出新产品的配方及生产工艺和样品，起到科研和生产中的桥梁与纽带作用。</w:t>
      </w:r>
    </w:p>
    <w:p w14:paraId="4BD51E6E" w14:textId="575D6158" w:rsidR="00E23EF0" w:rsidRPr="00E23EF0" w:rsidRDefault="00E23EF0" w:rsidP="00E23EF0">
      <w:pPr>
        <w:spacing w:line="500" w:lineRule="exact"/>
        <w:ind w:firstLineChars="200" w:firstLine="480"/>
        <w:jc w:val="left"/>
        <w:rPr>
          <w:rFonts w:ascii="宋体" w:eastAsia="宋体" w:hAnsi="宋体"/>
        </w:rPr>
      </w:pPr>
      <w:r w:rsidRPr="00E23EF0">
        <w:rPr>
          <w:rFonts w:ascii="宋体" w:eastAsia="宋体" w:hAnsi="宋体" w:hint="eastAsia"/>
        </w:rPr>
        <w:t>培养高素质劳动者，推动人才链发展。一是实施科研能力提升工程，推进教师“带课题下企业”、企业“带项目进学校”，引导教师紧跟产业发展步伐，提升“双师型”教师队伍能力水平。二是实施专业设置动态调整机制，严格落实专业调研制</w:t>
      </w:r>
      <w:r w:rsidRPr="00E23EF0">
        <w:rPr>
          <w:rFonts w:ascii="宋体" w:eastAsia="宋体" w:hAnsi="宋体" w:hint="eastAsia"/>
        </w:rPr>
        <w:lastRenderedPageBreak/>
        <w:t>度，及时掌握产业转型升级和新技术变革现状与发展趋势，做好人才需求预测，参照职业教育新版专业目录，积极拓展与战略性新兴产业密切相关的新专业，使专业人才培养能够切实符合适应经济社会转型升级的需要。三是实施科研项目实践育人，优化创新人才培养模式。鼓励教师将科研成果转化为教学资源，将科技创新思维、创新方法和创新内容融入课程教学和实践环节。推行“导师制”和“科研助理制”，引导学生参与教师真实科研项目，提高学生的工程意识和工程能力，把科研创新优势转化为育人优势。（作者贺星岳系浙江机电职业技术学院院长，黄金永系浙江机电职业技术学院科研处副处长</w:t>
      </w:r>
      <w:r>
        <w:rPr>
          <w:rFonts w:ascii="宋体" w:eastAsia="宋体" w:hAnsi="宋体" w:hint="eastAsia"/>
        </w:rPr>
        <w:t xml:space="preserve">  </w:t>
      </w:r>
      <w:r w:rsidRPr="00E23EF0">
        <w:rPr>
          <w:rFonts w:ascii="宋体" w:eastAsia="宋体" w:hAnsi="宋体"/>
        </w:rPr>
        <w:t>来源: 《中国教育报》2024年3月19日06版</w:t>
      </w:r>
      <w:r w:rsidRPr="00E23EF0">
        <w:rPr>
          <w:rFonts w:ascii="宋体" w:eastAsia="宋体" w:hAnsi="宋体" w:hint="eastAsia"/>
        </w:rPr>
        <w:t>）</w:t>
      </w:r>
    </w:p>
    <w:p w14:paraId="143ADACB" w14:textId="77777777" w:rsidR="00011CEC" w:rsidRPr="00011CEC" w:rsidRDefault="00011CEC" w:rsidP="00011CEC">
      <w:pPr>
        <w:spacing w:line="500" w:lineRule="exact"/>
        <w:ind w:firstLineChars="200" w:firstLine="482"/>
        <w:rPr>
          <w:rFonts w:ascii="宋体" w:eastAsia="宋体" w:hAnsi="宋体"/>
          <w:b/>
          <w:bCs/>
        </w:rPr>
      </w:pPr>
      <w:r w:rsidRPr="00011CEC">
        <w:rPr>
          <w:rFonts w:ascii="宋体" w:eastAsia="宋体" w:hAnsi="宋体"/>
          <w:b/>
          <w:bCs/>
        </w:rPr>
        <w:t>发展新质生产力，职业院校当何为</w:t>
      </w:r>
    </w:p>
    <w:p w14:paraId="485CE611"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习近平总书记多次就发展新质生产力作出重要论述，提出明确要求。今年的政府工作报告，更是首次将加快发展新质生产力列为2024年十大工作任务的首位，进一步凸显了新质生产力对促进我国高质量发展的强大支撑力和强劲推动力。作为肩负服务人的全面发展、服务经济社会发展、服务国家重大战略等历史使命的职业教育，应全面认识深刻把握新质生产力的丰富内涵与实践要求，围绕新型劳动者的培养需求优化专业设置、改革培养模式，围绕新型劳动工具的快速迭代强化师资支撑、激发创新动力，围绕新型劳动对象的数智升级深化产教融合、加强国际交流，主动适应加快发展新质生产力的时代变革。</w:t>
      </w:r>
    </w:p>
    <w:p w14:paraId="2EF2FB0F"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培养高素质技能人才，提高人才供给力</w:t>
      </w:r>
    </w:p>
    <w:p w14:paraId="3A9642F8"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新质生产力的第一要素是新型劳动者，是能够熟练掌握新型劳动工具和持续创造新型劳动对象的战略人才、应用型人才，其应具备更强的理论素养、职业技能、创新意识、数字化思维和智能化应用能力。职业院校须锚定新型劳动者的能力要求，强化类型教育特征，充分利用大数据智能化技术，推进人才培养模式的数智化转型和系统性变革，切实增强适应性和便捷性，激发吸引力和创造力。</w:t>
      </w:r>
    </w:p>
    <w:p w14:paraId="3193F9BD"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一是在培养方案设计上，坚持面向产业、聚焦数智，逆向设计、正向实施，以支撑新质生产力发展的工作岗位所需的职业能力培养为逻辑起点，以高素质技能人</w:t>
      </w:r>
      <w:r w:rsidRPr="00011CEC">
        <w:rPr>
          <w:rFonts w:ascii="宋体" w:eastAsia="宋体" w:hAnsi="宋体" w:hint="eastAsia"/>
        </w:rPr>
        <w:lastRenderedPageBreak/>
        <w:t>才培养目标达成为培养终点，系统梳理发展新质生产力衍生的典型工作任务，重构数智化绿色化课程体系。二是在教学资源配置上，打造好富含人工智能、大数据应用、绿色低碳等知识技能要素的专业课程；建设好集教学科研于一体的生产性实践基地和虚拟仿真实训中心；应用好精品在线开放课程、职业教育专业教学资源库；开发好产教融合型数字化新形态教材，及时植入新理念、新技术、新标准、新方法。三是在教学方式革新上，要坚持“应用为王”，搭建“人人、时时、处处”可学的智慧化数字教育平台，不断拓展数字化应用场景，扩大优质教学资源供给共享；将人工智能技术贯穿教育教学和管理全过程、各环节，充分借助数字技术手段，深化线上线下结合的混合式教学模式改革和教学评价改革，赋能高素质技能人才培养。</w:t>
      </w:r>
    </w:p>
    <w:p w14:paraId="14E092BE"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优化新专业结构布局，提高专业生命力</w:t>
      </w:r>
    </w:p>
    <w:p w14:paraId="066A36A7"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专业是职业院校发展的基石，是培养服务新质生产力发展的高技能人才的载体。职业院校须根据科学技术发展新趋势、区域产业发展新方向和职业结构新变化，未雨绸缪、适度超前、因地制宜优化专业设置，重点处理好三种关系。</w:t>
      </w:r>
    </w:p>
    <w:p w14:paraId="33BF5DEA"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一是处理好“新”和“旧”的关系。在优化专业设置时既要系统考虑大力推进现代化产业体系建设、积极培育战略性新兴产业和未来产业对技能人才的需要，培育设置“新”专业；又要贯彻新发展理念，以服务传统产业向高端化、智能化、绿色化转型为目标，围绕产业链供应链优化升级的需要，对传统“旧”专业进行全面数智化、绿色化改造。二是处理好“内”和“外”的关系。既要充分考虑自身办学基础、师资水平、实训条件等内部因素，量力而行，科学设置新专业，切不可盲目跟风、为新而新、翻版照抄；又要立足区域产业布局实际，借力政府、行业、企业、学校协同合作机制，汇聚外部资源，确保专业设置与产业发展同向同行、实现同频共振。三是处理好“纵”和“横”的关系。应以《关于深化现代职业教育体系建设改革的意见》为行动指南，既要深入剖析职业教育不同层级人才培养的特点和逻辑关系，科学设置“中—高—本”贯通培养专业，助力调整人才结构，拓展学生成长成才通道；又要统筹考虑职业教育、高等教育、继续教育协同创新，打造“人工智</w:t>
      </w:r>
      <w:r w:rsidRPr="00011CEC">
        <w:rPr>
          <w:rFonts w:ascii="宋体" w:eastAsia="宋体" w:hAnsi="宋体" w:hint="eastAsia"/>
        </w:rPr>
        <w:lastRenderedPageBreak/>
        <w:t>能+”“绿色+”交叉融合型专业（群），构建中国特色工程师和高素质技能人才培养体系，助力调整教育结构，满足新质生产力对各类型教育的需求。</w:t>
      </w:r>
    </w:p>
    <w:p w14:paraId="4F82AB28"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加强有组织科技创新，提高科技支撑力</w:t>
      </w:r>
    </w:p>
    <w:p w14:paraId="62ECEC81"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科技创新催生新产业、新模式、新动能，是发展新质生产力的核心要素和重要引擎。职业院校作为促进教育链、产业链、人才链、创新链“四链”融合的主战场，要畅通教育、科技、人才的良性循环，推进产教融合、科教融汇。</w:t>
      </w:r>
    </w:p>
    <w:p w14:paraId="3639FBF0"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一方面，坚持“四个面向”，开展有组织科技创新。明晰科研定位，将服务产业转型升级、促进企业技术革新摆在突出位置，把科技创新成果在具体产业和产业链上的应用研究作为科技创新的主攻方向；打造创新平台，积极搭建集科研攻关、技术研发、成果转化、人才培养于一体的高水平“政产学研用”协同创新平台，形成职教赋能产业高质量发展策源地；引导成果转化，着力打破创新链和产业链之间的耦合障碍，构建以破解企业技术难题为目标、推动攻关成果靶向输出的新模式，促进创新成果向新质生产力转变。另一方面，强化师资支撑，激发科技创新活力。教师队伍是发展职业教育的第一资源，是职业院校实施科技创新的关键主体。因此要精心引进教师，坚持柔性引才、“飞地”引才和全职引才相结合，积极营造“聚天下英才而用之”的良好氛围，着力补齐师资总量不足、结构不优的短板；要潜心培育名师，科学规划职业生涯，搭建发展平台，完善培育机制，着力分类培养业务精湛、业绩突出的教学名师、科研能手、技能大师；要悉心评价教师，加快破除“五唯”顽瘴痼疾，完善职称评价标准，改革职称评价方式，科学设置评价周期，着力构建以创新价值、能力、贡献为导向的评价体系；要真心关爱教师，充分发挥党管人才的政治和组织优势，优化表彰奖励制度，大力弘扬科学家精神、教育家精神，着力健全要素参与的收入分配机制，激发劳动、知识、技术、管理等生产要素活力。</w:t>
      </w:r>
    </w:p>
    <w:p w14:paraId="6982EF51"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深化高水平合作交流，提高产业贡献力</w:t>
      </w:r>
    </w:p>
    <w:p w14:paraId="5F23DB0E" w14:textId="77777777"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产教融合是职业教育的基本办学模式。职业院校要加强支撑产教融合的平台建设，围绕区域战略性新兴产业和未来重点产业链，与链主企业共同组建跨区域行业</w:t>
      </w:r>
      <w:r w:rsidRPr="00011CEC">
        <w:rPr>
          <w:rFonts w:ascii="宋体" w:eastAsia="宋体" w:hAnsi="宋体" w:hint="eastAsia"/>
        </w:rPr>
        <w:lastRenderedPageBreak/>
        <w:t>产教融合共同体，助力产业链延链、补链、强链；充分发挥政府统筹作用，积极参与兼具人才培养、创新创业、促进新质生产力发展功能的市域产教联合体建设。要引入数智技术，丰富产教融合内容，发挥大数据优势实现对参与主体需求的动态分析，促进产教融合资源供给模式的优化与增效，提高服务企业转型升级的精准度和人才培养的匹配度。要激发合作动力，以参与主体需求为导向，在人才培养、资源开发、课程建设、教师培训、科技创新等方面深化合作，打造命运共同体。同时，还需深刻把握数字时代新特点和发展新质生产力的新要求，立足区域优势、支柱产业和人才需求，不断拓宽国际视野，打造国际合作平台，加强海外人才的引进和先进技术的引入，输出职教资源和标准，培养国际化人才和国外中资企业急需的本土技术技能人才。</w:t>
      </w:r>
    </w:p>
    <w:p w14:paraId="380CD685" w14:textId="49837C6B" w:rsidR="00011CEC" w:rsidRPr="00011CEC" w:rsidRDefault="00011CEC" w:rsidP="00011CEC">
      <w:pPr>
        <w:spacing w:line="500" w:lineRule="exact"/>
        <w:ind w:firstLineChars="200" w:firstLine="480"/>
        <w:jc w:val="left"/>
        <w:rPr>
          <w:rFonts w:ascii="宋体" w:eastAsia="宋体" w:hAnsi="宋体"/>
        </w:rPr>
      </w:pPr>
      <w:r w:rsidRPr="00011CEC">
        <w:rPr>
          <w:rFonts w:ascii="宋体" w:eastAsia="宋体" w:hAnsi="宋体" w:hint="eastAsia"/>
        </w:rPr>
        <w:t>道虽远，行则将至。加快发展新质生产力必将对职业教育的办学理念、人才培养、教学组织、科学研究和社会服务产生深远影响，职业院校须固守类型教育定位，坚定信心，保持定力，主动求变，改革创新，为教育强国建设和高质量发展作出职教贡献。（作者：夏德强，系兰州石化职业技术大学人事处处长、教授</w:t>
      </w:r>
      <w:r>
        <w:rPr>
          <w:rFonts w:ascii="宋体" w:eastAsia="宋体" w:hAnsi="宋体" w:hint="eastAsia"/>
        </w:rPr>
        <w:t xml:space="preserve">  </w:t>
      </w:r>
      <w:r w:rsidRPr="00011CEC">
        <w:rPr>
          <w:rFonts w:ascii="宋体" w:eastAsia="宋体" w:hAnsi="宋体"/>
        </w:rPr>
        <w:t>来源: 《中国教育报》2024年3月26日07版</w:t>
      </w:r>
      <w:r w:rsidRPr="00011CEC">
        <w:rPr>
          <w:rFonts w:ascii="宋体" w:eastAsia="宋体" w:hAnsi="宋体" w:hint="eastAsia"/>
        </w:rPr>
        <w:t>）</w:t>
      </w:r>
    </w:p>
    <w:p w14:paraId="42FFAE93" w14:textId="77777777" w:rsidR="008435BD" w:rsidRPr="008435BD" w:rsidRDefault="008435BD" w:rsidP="00011CEC">
      <w:pPr>
        <w:spacing w:line="500" w:lineRule="exact"/>
        <w:ind w:firstLineChars="200" w:firstLine="480"/>
        <w:jc w:val="left"/>
        <w:rPr>
          <w:rFonts w:ascii="宋体" w:eastAsia="宋体" w:hAnsi="宋体" w:hint="eastAsia"/>
        </w:rPr>
      </w:pPr>
    </w:p>
    <w:sectPr w:rsidR="008435BD" w:rsidRPr="008435BD">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2691D"/>
    <w:multiLevelType w:val="singleLevel"/>
    <w:tmpl w:val="15F2691D"/>
    <w:lvl w:ilvl="0">
      <w:start w:val="1"/>
      <w:numFmt w:val="bullet"/>
      <w:lvlText w:val=""/>
      <w:lvlJc w:val="left"/>
      <w:pPr>
        <w:ind w:left="1413" w:hanging="420"/>
      </w:pPr>
      <w:rPr>
        <w:rFonts w:ascii="Wingdings" w:hAnsi="Wingdings" w:hint="default"/>
      </w:rPr>
    </w:lvl>
  </w:abstractNum>
  <w:num w:numId="1" w16cid:durableId="182041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xZjc2NDliZGUzNDRiZmQyMWE4Y2MwYTk1YTNmMWEifQ=="/>
  </w:docVars>
  <w:rsids>
    <w:rsidRoot w:val="002916EF"/>
    <w:rsid w:val="00005EAE"/>
    <w:rsid w:val="00011CEC"/>
    <w:rsid w:val="0015211A"/>
    <w:rsid w:val="00252EA4"/>
    <w:rsid w:val="002916EF"/>
    <w:rsid w:val="003B4E4F"/>
    <w:rsid w:val="00486D47"/>
    <w:rsid w:val="005C114A"/>
    <w:rsid w:val="005D1698"/>
    <w:rsid w:val="005D3DEB"/>
    <w:rsid w:val="006076F1"/>
    <w:rsid w:val="006A6321"/>
    <w:rsid w:val="00750D0F"/>
    <w:rsid w:val="00776F48"/>
    <w:rsid w:val="007B3F06"/>
    <w:rsid w:val="008435BD"/>
    <w:rsid w:val="00876881"/>
    <w:rsid w:val="008C15A6"/>
    <w:rsid w:val="009A6ED1"/>
    <w:rsid w:val="009C62C1"/>
    <w:rsid w:val="009F0265"/>
    <w:rsid w:val="009F0782"/>
    <w:rsid w:val="00AD13DE"/>
    <w:rsid w:val="00B523AB"/>
    <w:rsid w:val="00BA526F"/>
    <w:rsid w:val="00C748DB"/>
    <w:rsid w:val="00D81806"/>
    <w:rsid w:val="00E23EF0"/>
    <w:rsid w:val="00EF1E42"/>
    <w:rsid w:val="00F0142B"/>
    <w:rsid w:val="00F66297"/>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30EF0C"/>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 w:type="paragraph" w:styleId="a5">
    <w:name w:val="List Paragraph"/>
    <w:basedOn w:val="a"/>
    <w:uiPriority w:val="99"/>
    <w:rsid w:val="009F07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50983">
      <w:bodyDiv w:val="1"/>
      <w:marLeft w:val="0"/>
      <w:marRight w:val="0"/>
      <w:marTop w:val="0"/>
      <w:marBottom w:val="0"/>
      <w:divBdr>
        <w:top w:val="none" w:sz="0" w:space="0" w:color="auto"/>
        <w:left w:val="none" w:sz="0" w:space="0" w:color="auto"/>
        <w:bottom w:val="none" w:sz="0" w:space="0" w:color="auto"/>
        <w:right w:val="none" w:sz="0" w:space="0" w:color="auto"/>
      </w:divBdr>
    </w:div>
    <w:div w:id="110054105">
      <w:bodyDiv w:val="1"/>
      <w:marLeft w:val="0"/>
      <w:marRight w:val="0"/>
      <w:marTop w:val="0"/>
      <w:marBottom w:val="0"/>
      <w:divBdr>
        <w:top w:val="none" w:sz="0" w:space="0" w:color="auto"/>
        <w:left w:val="none" w:sz="0" w:space="0" w:color="auto"/>
        <w:bottom w:val="none" w:sz="0" w:space="0" w:color="auto"/>
        <w:right w:val="none" w:sz="0" w:space="0" w:color="auto"/>
      </w:divBdr>
    </w:div>
    <w:div w:id="260723004">
      <w:bodyDiv w:val="1"/>
      <w:marLeft w:val="0"/>
      <w:marRight w:val="0"/>
      <w:marTop w:val="0"/>
      <w:marBottom w:val="0"/>
      <w:divBdr>
        <w:top w:val="none" w:sz="0" w:space="0" w:color="auto"/>
        <w:left w:val="none" w:sz="0" w:space="0" w:color="auto"/>
        <w:bottom w:val="none" w:sz="0" w:space="0" w:color="auto"/>
        <w:right w:val="none" w:sz="0" w:space="0" w:color="auto"/>
      </w:divBdr>
    </w:div>
    <w:div w:id="280038802">
      <w:bodyDiv w:val="1"/>
      <w:marLeft w:val="0"/>
      <w:marRight w:val="0"/>
      <w:marTop w:val="0"/>
      <w:marBottom w:val="0"/>
      <w:divBdr>
        <w:top w:val="none" w:sz="0" w:space="0" w:color="auto"/>
        <w:left w:val="none" w:sz="0" w:space="0" w:color="auto"/>
        <w:bottom w:val="none" w:sz="0" w:space="0" w:color="auto"/>
        <w:right w:val="none" w:sz="0" w:space="0" w:color="auto"/>
      </w:divBdr>
    </w:div>
    <w:div w:id="281812730">
      <w:bodyDiv w:val="1"/>
      <w:marLeft w:val="0"/>
      <w:marRight w:val="0"/>
      <w:marTop w:val="0"/>
      <w:marBottom w:val="0"/>
      <w:divBdr>
        <w:top w:val="none" w:sz="0" w:space="0" w:color="auto"/>
        <w:left w:val="none" w:sz="0" w:space="0" w:color="auto"/>
        <w:bottom w:val="none" w:sz="0" w:space="0" w:color="auto"/>
        <w:right w:val="none" w:sz="0" w:space="0" w:color="auto"/>
      </w:divBdr>
    </w:div>
    <w:div w:id="294454557">
      <w:bodyDiv w:val="1"/>
      <w:marLeft w:val="0"/>
      <w:marRight w:val="0"/>
      <w:marTop w:val="0"/>
      <w:marBottom w:val="0"/>
      <w:divBdr>
        <w:top w:val="none" w:sz="0" w:space="0" w:color="auto"/>
        <w:left w:val="none" w:sz="0" w:space="0" w:color="auto"/>
        <w:bottom w:val="none" w:sz="0" w:space="0" w:color="auto"/>
        <w:right w:val="none" w:sz="0" w:space="0" w:color="auto"/>
      </w:divBdr>
    </w:div>
    <w:div w:id="294485021">
      <w:bodyDiv w:val="1"/>
      <w:marLeft w:val="0"/>
      <w:marRight w:val="0"/>
      <w:marTop w:val="0"/>
      <w:marBottom w:val="0"/>
      <w:divBdr>
        <w:top w:val="none" w:sz="0" w:space="0" w:color="auto"/>
        <w:left w:val="none" w:sz="0" w:space="0" w:color="auto"/>
        <w:bottom w:val="none" w:sz="0" w:space="0" w:color="auto"/>
        <w:right w:val="none" w:sz="0" w:space="0" w:color="auto"/>
      </w:divBdr>
    </w:div>
    <w:div w:id="384528782">
      <w:bodyDiv w:val="1"/>
      <w:marLeft w:val="0"/>
      <w:marRight w:val="0"/>
      <w:marTop w:val="0"/>
      <w:marBottom w:val="0"/>
      <w:divBdr>
        <w:top w:val="none" w:sz="0" w:space="0" w:color="auto"/>
        <w:left w:val="none" w:sz="0" w:space="0" w:color="auto"/>
        <w:bottom w:val="none" w:sz="0" w:space="0" w:color="auto"/>
        <w:right w:val="none" w:sz="0" w:space="0" w:color="auto"/>
      </w:divBdr>
    </w:div>
    <w:div w:id="423502918">
      <w:bodyDiv w:val="1"/>
      <w:marLeft w:val="0"/>
      <w:marRight w:val="0"/>
      <w:marTop w:val="0"/>
      <w:marBottom w:val="0"/>
      <w:divBdr>
        <w:top w:val="none" w:sz="0" w:space="0" w:color="auto"/>
        <w:left w:val="none" w:sz="0" w:space="0" w:color="auto"/>
        <w:bottom w:val="none" w:sz="0" w:space="0" w:color="auto"/>
        <w:right w:val="none" w:sz="0" w:space="0" w:color="auto"/>
      </w:divBdr>
    </w:div>
    <w:div w:id="436995351">
      <w:bodyDiv w:val="1"/>
      <w:marLeft w:val="0"/>
      <w:marRight w:val="0"/>
      <w:marTop w:val="0"/>
      <w:marBottom w:val="0"/>
      <w:divBdr>
        <w:top w:val="none" w:sz="0" w:space="0" w:color="auto"/>
        <w:left w:val="none" w:sz="0" w:space="0" w:color="auto"/>
        <w:bottom w:val="none" w:sz="0" w:space="0" w:color="auto"/>
        <w:right w:val="none" w:sz="0" w:space="0" w:color="auto"/>
      </w:divBdr>
    </w:div>
    <w:div w:id="53210866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17494786">
      <w:bodyDiv w:val="1"/>
      <w:marLeft w:val="0"/>
      <w:marRight w:val="0"/>
      <w:marTop w:val="0"/>
      <w:marBottom w:val="0"/>
      <w:divBdr>
        <w:top w:val="none" w:sz="0" w:space="0" w:color="auto"/>
        <w:left w:val="none" w:sz="0" w:space="0" w:color="auto"/>
        <w:bottom w:val="none" w:sz="0" w:space="0" w:color="auto"/>
        <w:right w:val="none" w:sz="0" w:space="0" w:color="auto"/>
      </w:divBdr>
    </w:div>
    <w:div w:id="672800109">
      <w:bodyDiv w:val="1"/>
      <w:marLeft w:val="0"/>
      <w:marRight w:val="0"/>
      <w:marTop w:val="0"/>
      <w:marBottom w:val="0"/>
      <w:divBdr>
        <w:top w:val="none" w:sz="0" w:space="0" w:color="auto"/>
        <w:left w:val="none" w:sz="0" w:space="0" w:color="auto"/>
        <w:bottom w:val="none" w:sz="0" w:space="0" w:color="auto"/>
        <w:right w:val="none" w:sz="0" w:space="0" w:color="auto"/>
      </w:divBdr>
    </w:div>
    <w:div w:id="705180496">
      <w:bodyDiv w:val="1"/>
      <w:marLeft w:val="0"/>
      <w:marRight w:val="0"/>
      <w:marTop w:val="0"/>
      <w:marBottom w:val="0"/>
      <w:divBdr>
        <w:top w:val="none" w:sz="0" w:space="0" w:color="auto"/>
        <w:left w:val="none" w:sz="0" w:space="0" w:color="auto"/>
        <w:bottom w:val="none" w:sz="0" w:space="0" w:color="auto"/>
        <w:right w:val="none" w:sz="0" w:space="0" w:color="auto"/>
      </w:divBdr>
    </w:div>
    <w:div w:id="749692325">
      <w:bodyDiv w:val="1"/>
      <w:marLeft w:val="0"/>
      <w:marRight w:val="0"/>
      <w:marTop w:val="0"/>
      <w:marBottom w:val="0"/>
      <w:divBdr>
        <w:top w:val="none" w:sz="0" w:space="0" w:color="auto"/>
        <w:left w:val="none" w:sz="0" w:space="0" w:color="auto"/>
        <w:bottom w:val="none" w:sz="0" w:space="0" w:color="auto"/>
        <w:right w:val="none" w:sz="0" w:space="0" w:color="auto"/>
      </w:divBdr>
    </w:div>
    <w:div w:id="770396053">
      <w:bodyDiv w:val="1"/>
      <w:marLeft w:val="0"/>
      <w:marRight w:val="0"/>
      <w:marTop w:val="0"/>
      <w:marBottom w:val="0"/>
      <w:divBdr>
        <w:top w:val="none" w:sz="0" w:space="0" w:color="auto"/>
        <w:left w:val="none" w:sz="0" w:space="0" w:color="auto"/>
        <w:bottom w:val="none" w:sz="0" w:space="0" w:color="auto"/>
        <w:right w:val="none" w:sz="0" w:space="0" w:color="auto"/>
      </w:divBdr>
    </w:div>
    <w:div w:id="810056260">
      <w:bodyDiv w:val="1"/>
      <w:marLeft w:val="0"/>
      <w:marRight w:val="0"/>
      <w:marTop w:val="0"/>
      <w:marBottom w:val="0"/>
      <w:divBdr>
        <w:top w:val="none" w:sz="0" w:space="0" w:color="auto"/>
        <w:left w:val="none" w:sz="0" w:space="0" w:color="auto"/>
        <w:bottom w:val="none" w:sz="0" w:space="0" w:color="auto"/>
        <w:right w:val="none" w:sz="0" w:space="0" w:color="auto"/>
      </w:divBdr>
    </w:div>
    <w:div w:id="812794557">
      <w:bodyDiv w:val="1"/>
      <w:marLeft w:val="0"/>
      <w:marRight w:val="0"/>
      <w:marTop w:val="0"/>
      <w:marBottom w:val="0"/>
      <w:divBdr>
        <w:top w:val="none" w:sz="0" w:space="0" w:color="auto"/>
        <w:left w:val="none" w:sz="0" w:space="0" w:color="auto"/>
        <w:bottom w:val="none" w:sz="0" w:space="0" w:color="auto"/>
        <w:right w:val="none" w:sz="0" w:space="0" w:color="auto"/>
      </w:divBdr>
    </w:div>
    <w:div w:id="816191159">
      <w:bodyDiv w:val="1"/>
      <w:marLeft w:val="0"/>
      <w:marRight w:val="0"/>
      <w:marTop w:val="0"/>
      <w:marBottom w:val="0"/>
      <w:divBdr>
        <w:top w:val="none" w:sz="0" w:space="0" w:color="auto"/>
        <w:left w:val="none" w:sz="0" w:space="0" w:color="auto"/>
        <w:bottom w:val="none" w:sz="0" w:space="0" w:color="auto"/>
        <w:right w:val="none" w:sz="0" w:space="0" w:color="auto"/>
      </w:divBdr>
    </w:div>
    <w:div w:id="915018320">
      <w:bodyDiv w:val="1"/>
      <w:marLeft w:val="0"/>
      <w:marRight w:val="0"/>
      <w:marTop w:val="0"/>
      <w:marBottom w:val="0"/>
      <w:divBdr>
        <w:top w:val="none" w:sz="0" w:space="0" w:color="auto"/>
        <w:left w:val="none" w:sz="0" w:space="0" w:color="auto"/>
        <w:bottom w:val="none" w:sz="0" w:space="0" w:color="auto"/>
        <w:right w:val="none" w:sz="0" w:space="0" w:color="auto"/>
      </w:divBdr>
    </w:div>
    <w:div w:id="994836551">
      <w:bodyDiv w:val="1"/>
      <w:marLeft w:val="0"/>
      <w:marRight w:val="0"/>
      <w:marTop w:val="0"/>
      <w:marBottom w:val="0"/>
      <w:divBdr>
        <w:top w:val="none" w:sz="0" w:space="0" w:color="auto"/>
        <w:left w:val="none" w:sz="0" w:space="0" w:color="auto"/>
        <w:bottom w:val="none" w:sz="0" w:space="0" w:color="auto"/>
        <w:right w:val="none" w:sz="0" w:space="0" w:color="auto"/>
      </w:divBdr>
    </w:div>
    <w:div w:id="1023557511">
      <w:bodyDiv w:val="1"/>
      <w:marLeft w:val="0"/>
      <w:marRight w:val="0"/>
      <w:marTop w:val="0"/>
      <w:marBottom w:val="0"/>
      <w:divBdr>
        <w:top w:val="none" w:sz="0" w:space="0" w:color="auto"/>
        <w:left w:val="none" w:sz="0" w:space="0" w:color="auto"/>
        <w:bottom w:val="none" w:sz="0" w:space="0" w:color="auto"/>
        <w:right w:val="none" w:sz="0" w:space="0" w:color="auto"/>
      </w:divBdr>
    </w:div>
    <w:div w:id="1108161145">
      <w:bodyDiv w:val="1"/>
      <w:marLeft w:val="0"/>
      <w:marRight w:val="0"/>
      <w:marTop w:val="0"/>
      <w:marBottom w:val="0"/>
      <w:divBdr>
        <w:top w:val="none" w:sz="0" w:space="0" w:color="auto"/>
        <w:left w:val="none" w:sz="0" w:space="0" w:color="auto"/>
        <w:bottom w:val="none" w:sz="0" w:space="0" w:color="auto"/>
        <w:right w:val="none" w:sz="0" w:space="0" w:color="auto"/>
      </w:divBdr>
    </w:div>
    <w:div w:id="1117603865">
      <w:bodyDiv w:val="1"/>
      <w:marLeft w:val="0"/>
      <w:marRight w:val="0"/>
      <w:marTop w:val="0"/>
      <w:marBottom w:val="0"/>
      <w:divBdr>
        <w:top w:val="none" w:sz="0" w:space="0" w:color="auto"/>
        <w:left w:val="none" w:sz="0" w:space="0" w:color="auto"/>
        <w:bottom w:val="none" w:sz="0" w:space="0" w:color="auto"/>
        <w:right w:val="none" w:sz="0" w:space="0" w:color="auto"/>
      </w:divBdr>
    </w:div>
    <w:div w:id="1145317424">
      <w:bodyDiv w:val="1"/>
      <w:marLeft w:val="0"/>
      <w:marRight w:val="0"/>
      <w:marTop w:val="0"/>
      <w:marBottom w:val="0"/>
      <w:divBdr>
        <w:top w:val="none" w:sz="0" w:space="0" w:color="auto"/>
        <w:left w:val="none" w:sz="0" w:space="0" w:color="auto"/>
        <w:bottom w:val="none" w:sz="0" w:space="0" w:color="auto"/>
        <w:right w:val="none" w:sz="0" w:space="0" w:color="auto"/>
      </w:divBdr>
    </w:div>
    <w:div w:id="1172254697">
      <w:bodyDiv w:val="1"/>
      <w:marLeft w:val="0"/>
      <w:marRight w:val="0"/>
      <w:marTop w:val="0"/>
      <w:marBottom w:val="0"/>
      <w:divBdr>
        <w:top w:val="none" w:sz="0" w:space="0" w:color="auto"/>
        <w:left w:val="none" w:sz="0" w:space="0" w:color="auto"/>
        <w:bottom w:val="none" w:sz="0" w:space="0" w:color="auto"/>
        <w:right w:val="none" w:sz="0" w:space="0" w:color="auto"/>
      </w:divBdr>
    </w:div>
    <w:div w:id="1196305839">
      <w:bodyDiv w:val="1"/>
      <w:marLeft w:val="0"/>
      <w:marRight w:val="0"/>
      <w:marTop w:val="0"/>
      <w:marBottom w:val="0"/>
      <w:divBdr>
        <w:top w:val="none" w:sz="0" w:space="0" w:color="auto"/>
        <w:left w:val="none" w:sz="0" w:space="0" w:color="auto"/>
        <w:bottom w:val="none" w:sz="0" w:space="0" w:color="auto"/>
        <w:right w:val="none" w:sz="0" w:space="0" w:color="auto"/>
      </w:divBdr>
    </w:div>
    <w:div w:id="1225264793">
      <w:bodyDiv w:val="1"/>
      <w:marLeft w:val="0"/>
      <w:marRight w:val="0"/>
      <w:marTop w:val="0"/>
      <w:marBottom w:val="0"/>
      <w:divBdr>
        <w:top w:val="none" w:sz="0" w:space="0" w:color="auto"/>
        <w:left w:val="none" w:sz="0" w:space="0" w:color="auto"/>
        <w:bottom w:val="none" w:sz="0" w:space="0" w:color="auto"/>
        <w:right w:val="none" w:sz="0" w:space="0" w:color="auto"/>
      </w:divBdr>
    </w:div>
    <w:div w:id="1229540570">
      <w:bodyDiv w:val="1"/>
      <w:marLeft w:val="0"/>
      <w:marRight w:val="0"/>
      <w:marTop w:val="0"/>
      <w:marBottom w:val="0"/>
      <w:divBdr>
        <w:top w:val="none" w:sz="0" w:space="0" w:color="auto"/>
        <w:left w:val="none" w:sz="0" w:space="0" w:color="auto"/>
        <w:bottom w:val="none" w:sz="0" w:space="0" w:color="auto"/>
        <w:right w:val="none" w:sz="0" w:space="0" w:color="auto"/>
      </w:divBdr>
    </w:div>
    <w:div w:id="1404643790">
      <w:bodyDiv w:val="1"/>
      <w:marLeft w:val="0"/>
      <w:marRight w:val="0"/>
      <w:marTop w:val="0"/>
      <w:marBottom w:val="0"/>
      <w:divBdr>
        <w:top w:val="none" w:sz="0" w:space="0" w:color="auto"/>
        <w:left w:val="none" w:sz="0" w:space="0" w:color="auto"/>
        <w:bottom w:val="none" w:sz="0" w:space="0" w:color="auto"/>
        <w:right w:val="none" w:sz="0" w:space="0" w:color="auto"/>
      </w:divBdr>
    </w:div>
    <w:div w:id="1472946376">
      <w:bodyDiv w:val="1"/>
      <w:marLeft w:val="0"/>
      <w:marRight w:val="0"/>
      <w:marTop w:val="0"/>
      <w:marBottom w:val="0"/>
      <w:divBdr>
        <w:top w:val="none" w:sz="0" w:space="0" w:color="auto"/>
        <w:left w:val="none" w:sz="0" w:space="0" w:color="auto"/>
        <w:bottom w:val="none" w:sz="0" w:space="0" w:color="auto"/>
        <w:right w:val="none" w:sz="0" w:space="0" w:color="auto"/>
      </w:divBdr>
    </w:div>
    <w:div w:id="1557471441">
      <w:bodyDiv w:val="1"/>
      <w:marLeft w:val="0"/>
      <w:marRight w:val="0"/>
      <w:marTop w:val="0"/>
      <w:marBottom w:val="0"/>
      <w:divBdr>
        <w:top w:val="none" w:sz="0" w:space="0" w:color="auto"/>
        <w:left w:val="none" w:sz="0" w:space="0" w:color="auto"/>
        <w:bottom w:val="none" w:sz="0" w:space="0" w:color="auto"/>
        <w:right w:val="none" w:sz="0" w:space="0" w:color="auto"/>
      </w:divBdr>
    </w:div>
    <w:div w:id="1559701703">
      <w:bodyDiv w:val="1"/>
      <w:marLeft w:val="0"/>
      <w:marRight w:val="0"/>
      <w:marTop w:val="0"/>
      <w:marBottom w:val="0"/>
      <w:divBdr>
        <w:top w:val="none" w:sz="0" w:space="0" w:color="auto"/>
        <w:left w:val="none" w:sz="0" w:space="0" w:color="auto"/>
        <w:bottom w:val="none" w:sz="0" w:space="0" w:color="auto"/>
        <w:right w:val="none" w:sz="0" w:space="0" w:color="auto"/>
      </w:divBdr>
    </w:div>
    <w:div w:id="1636447415">
      <w:bodyDiv w:val="1"/>
      <w:marLeft w:val="0"/>
      <w:marRight w:val="0"/>
      <w:marTop w:val="0"/>
      <w:marBottom w:val="0"/>
      <w:divBdr>
        <w:top w:val="none" w:sz="0" w:space="0" w:color="auto"/>
        <w:left w:val="none" w:sz="0" w:space="0" w:color="auto"/>
        <w:bottom w:val="none" w:sz="0" w:space="0" w:color="auto"/>
        <w:right w:val="none" w:sz="0" w:space="0" w:color="auto"/>
      </w:divBdr>
    </w:div>
    <w:div w:id="1641034043">
      <w:bodyDiv w:val="1"/>
      <w:marLeft w:val="0"/>
      <w:marRight w:val="0"/>
      <w:marTop w:val="0"/>
      <w:marBottom w:val="0"/>
      <w:divBdr>
        <w:top w:val="none" w:sz="0" w:space="0" w:color="auto"/>
        <w:left w:val="none" w:sz="0" w:space="0" w:color="auto"/>
        <w:bottom w:val="none" w:sz="0" w:space="0" w:color="auto"/>
        <w:right w:val="none" w:sz="0" w:space="0" w:color="auto"/>
      </w:divBdr>
    </w:div>
    <w:div w:id="1852796442">
      <w:bodyDiv w:val="1"/>
      <w:marLeft w:val="0"/>
      <w:marRight w:val="0"/>
      <w:marTop w:val="0"/>
      <w:marBottom w:val="0"/>
      <w:divBdr>
        <w:top w:val="none" w:sz="0" w:space="0" w:color="auto"/>
        <w:left w:val="none" w:sz="0" w:space="0" w:color="auto"/>
        <w:bottom w:val="none" w:sz="0" w:space="0" w:color="auto"/>
        <w:right w:val="none" w:sz="0" w:space="0" w:color="auto"/>
      </w:divBdr>
    </w:div>
    <w:div w:id="1888565179">
      <w:bodyDiv w:val="1"/>
      <w:marLeft w:val="0"/>
      <w:marRight w:val="0"/>
      <w:marTop w:val="0"/>
      <w:marBottom w:val="0"/>
      <w:divBdr>
        <w:top w:val="none" w:sz="0" w:space="0" w:color="auto"/>
        <w:left w:val="none" w:sz="0" w:space="0" w:color="auto"/>
        <w:bottom w:val="none" w:sz="0" w:space="0" w:color="auto"/>
        <w:right w:val="none" w:sz="0" w:space="0" w:color="auto"/>
      </w:divBdr>
    </w:div>
    <w:div w:id="1895509302">
      <w:bodyDiv w:val="1"/>
      <w:marLeft w:val="0"/>
      <w:marRight w:val="0"/>
      <w:marTop w:val="0"/>
      <w:marBottom w:val="0"/>
      <w:divBdr>
        <w:top w:val="none" w:sz="0" w:space="0" w:color="auto"/>
        <w:left w:val="none" w:sz="0" w:space="0" w:color="auto"/>
        <w:bottom w:val="none" w:sz="0" w:space="0" w:color="auto"/>
        <w:right w:val="none" w:sz="0" w:space="0" w:color="auto"/>
      </w:divBdr>
    </w:div>
    <w:div w:id="1981416901">
      <w:bodyDiv w:val="1"/>
      <w:marLeft w:val="0"/>
      <w:marRight w:val="0"/>
      <w:marTop w:val="0"/>
      <w:marBottom w:val="0"/>
      <w:divBdr>
        <w:top w:val="none" w:sz="0" w:space="0" w:color="auto"/>
        <w:left w:val="none" w:sz="0" w:space="0" w:color="auto"/>
        <w:bottom w:val="none" w:sz="0" w:space="0" w:color="auto"/>
        <w:right w:val="none" w:sz="0" w:space="0" w:color="auto"/>
      </w:divBdr>
    </w:div>
    <w:div w:id="2001276997">
      <w:bodyDiv w:val="1"/>
      <w:marLeft w:val="0"/>
      <w:marRight w:val="0"/>
      <w:marTop w:val="0"/>
      <w:marBottom w:val="0"/>
      <w:divBdr>
        <w:top w:val="none" w:sz="0" w:space="0" w:color="auto"/>
        <w:left w:val="none" w:sz="0" w:space="0" w:color="auto"/>
        <w:bottom w:val="none" w:sz="0" w:space="0" w:color="auto"/>
        <w:right w:val="none" w:sz="0" w:space="0" w:color="auto"/>
      </w:divBdr>
    </w:div>
    <w:div w:id="2045865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16438</Words>
  <Characters>301</Characters>
  <Application>Microsoft Office Word</Application>
  <DocSecurity>0</DocSecurity>
  <Lines>2</Lines>
  <Paragraphs>33</Paragraphs>
  <ScaleCrop>false</ScaleCrop>
  <Company>P R C</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正 曾</cp:lastModifiedBy>
  <cp:revision>31</cp:revision>
  <dcterms:created xsi:type="dcterms:W3CDTF">2022-06-11T12:57:00Z</dcterms:created>
  <dcterms:modified xsi:type="dcterms:W3CDTF">2025-01-01T08:53:00Z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